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B2608" w14:textId="77777777" w:rsidR="002F5AA0" w:rsidRPr="00FB58DE" w:rsidRDefault="00864DB9" w:rsidP="00695C6D">
      <w:pPr>
        <w:rPr>
          <w:b/>
          <w:bCs/>
          <w:sz w:val="32"/>
          <w:szCs w:val="32"/>
        </w:rPr>
      </w:pPr>
      <w:r w:rsidRPr="00FB58DE">
        <w:rPr>
          <w:b/>
          <w:bCs/>
          <w:sz w:val="32"/>
          <w:szCs w:val="32"/>
        </w:rPr>
        <w:t>RELAZIONE DI ACCOMPAGNAMENTO</w:t>
      </w:r>
    </w:p>
    <w:p w14:paraId="4A5EB55B" w14:textId="77777777" w:rsidR="002F5AA0" w:rsidRDefault="002F5AA0" w:rsidP="007530C0"/>
    <w:p w14:paraId="2E604398" w14:textId="509B451A" w:rsidR="00FB58DE" w:rsidRDefault="00FB58DE">
      <w:pPr>
        <w:ind w:left="0"/>
        <w:jc w:val="left"/>
      </w:pPr>
      <w:r>
        <w:br w:type="page"/>
      </w:r>
    </w:p>
    <w:p w14:paraId="517384AC" w14:textId="77777777" w:rsidR="00B04F80" w:rsidRDefault="00B04F80" w:rsidP="007530C0">
      <w:pPr>
        <w:rPr>
          <w:b/>
          <w:bCs/>
          <w:sz w:val="28"/>
          <w:szCs w:val="28"/>
        </w:rPr>
      </w:pPr>
    </w:p>
    <w:p w14:paraId="6E412C37" w14:textId="77777777" w:rsidR="00B04F80" w:rsidRDefault="00B04F80" w:rsidP="007530C0">
      <w:pPr>
        <w:rPr>
          <w:b/>
          <w:bCs/>
          <w:sz w:val="28"/>
          <w:szCs w:val="28"/>
        </w:rPr>
      </w:pPr>
    </w:p>
    <w:p w14:paraId="3E0DE866" w14:textId="57B5A328" w:rsidR="005316ED" w:rsidRPr="00FB58DE" w:rsidRDefault="005316ED" w:rsidP="007530C0">
      <w:pPr>
        <w:rPr>
          <w:b/>
          <w:bCs/>
          <w:sz w:val="28"/>
          <w:szCs w:val="28"/>
        </w:rPr>
      </w:pPr>
      <w:r w:rsidRPr="00FB58DE">
        <w:rPr>
          <w:b/>
          <w:bCs/>
          <w:sz w:val="28"/>
          <w:szCs w:val="28"/>
        </w:rPr>
        <w:t>Indice</w:t>
      </w:r>
      <w:r w:rsidR="0004185F" w:rsidRPr="00FB58DE">
        <w:rPr>
          <w:b/>
          <w:bCs/>
          <w:sz w:val="28"/>
          <w:szCs w:val="28"/>
        </w:rPr>
        <w:t xml:space="preserve"> della relazione</w:t>
      </w:r>
    </w:p>
    <w:p w14:paraId="36996427" w14:textId="554A2F64" w:rsidR="005316ED" w:rsidRDefault="005316ED" w:rsidP="007530C0"/>
    <w:p w14:paraId="1A090172" w14:textId="2D89E323" w:rsidR="00B04F80" w:rsidRDefault="00B04F80" w:rsidP="007530C0"/>
    <w:p w14:paraId="1DDB8B5C" w14:textId="0A7E1381" w:rsidR="00B04F80" w:rsidRDefault="00B04F80" w:rsidP="007530C0"/>
    <w:p w14:paraId="21BEEF7E" w14:textId="77777777" w:rsidR="00B04F80" w:rsidRDefault="00B04F80" w:rsidP="007530C0"/>
    <w:p w14:paraId="02D65FB4" w14:textId="21CA80D7" w:rsidR="00B04F80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41318230" w:history="1">
        <w:r w:rsidR="00B04F80" w:rsidRPr="00314B22">
          <w:rPr>
            <w:rStyle w:val="Collegamentoipertestuale"/>
          </w:rPr>
          <w:t>1</w:t>
        </w:r>
        <w:r w:rsidR="00B04F80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04F80" w:rsidRPr="00314B22">
          <w:rPr>
            <w:rStyle w:val="Collegamentoipertestuale"/>
          </w:rPr>
          <w:t>Relazione di accompagnamento al/i PEF predisposta dal gestore</w:t>
        </w:r>
        <w:r w:rsidR="00B04F80">
          <w:rPr>
            <w:webHidden/>
          </w:rPr>
          <w:tab/>
        </w:r>
        <w:r w:rsidR="00B04F80">
          <w:rPr>
            <w:webHidden/>
          </w:rPr>
          <w:fldChar w:fldCharType="begin"/>
        </w:r>
        <w:r w:rsidR="00B04F80">
          <w:rPr>
            <w:webHidden/>
          </w:rPr>
          <w:instrText xml:space="preserve"> PAGEREF _Toc41318230 \h </w:instrText>
        </w:r>
        <w:r w:rsidR="00B04F80">
          <w:rPr>
            <w:webHidden/>
          </w:rPr>
        </w:r>
        <w:r w:rsidR="00B04F80">
          <w:rPr>
            <w:webHidden/>
          </w:rPr>
          <w:fldChar w:fldCharType="separate"/>
        </w:r>
        <w:r w:rsidR="007E08BB">
          <w:rPr>
            <w:webHidden/>
          </w:rPr>
          <w:t>4</w:t>
        </w:r>
        <w:r w:rsidR="00B04F80">
          <w:rPr>
            <w:webHidden/>
          </w:rPr>
          <w:fldChar w:fldCharType="end"/>
        </w:r>
      </w:hyperlink>
    </w:p>
    <w:p w14:paraId="75221E1B" w14:textId="31F94268" w:rsidR="00B04F80" w:rsidRDefault="0055272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Perimetro della gestione/affidamento e servizi forniti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38E9E7F9" w14:textId="4F23F631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Comuni serviti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00751719" w14:textId="7B2F5603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3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Attività effettuate incluse nel servizio integrato di gestione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2703D32E" w14:textId="2EF3A597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Attività effettuate esterne al servizio integrato di gestione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58C94EEC" w14:textId="76F905B6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1.1.1.4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Micro-raccolta dell’amianto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3DE59674" w14:textId="1359E16A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1.1.1.5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Eventuale cessazione o acquisizione di comuni serviti, servizi forniti o attività avvenuta a partire dal 2018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2BC9B2B7" w14:textId="14C0F8C2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7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1.1.1.6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Date delle modifiche nel servizio integrato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73D9D066" w14:textId="5BACA771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8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1.1.1.7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criteri generali di ricostruzione dei dati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061CC28F" w14:textId="19B173C7" w:rsidR="00B04F80" w:rsidRDefault="0055272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Altre informazioni rilevanti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186091D6" w14:textId="5651E9C5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Stato giuridico-patrimoniale (es. procedure fallimentari, concordato preventivo, altro)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4BC786D3" w14:textId="2664E796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Ricorsi pendenti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408C1C74" w14:textId="4090EBC9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Sentenze passate in giudicato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5A2C52C6" w14:textId="52EE6C7E" w:rsidR="00B04F80" w:rsidRDefault="00552725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318243" w:history="1">
        <w:r w:rsidR="00B04F80" w:rsidRPr="00314B22">
          <w:rPr>
            <w:rStyle w:val="Collegamentoipertestuale"/>
          </w:rPr>
          <w:t>2</w:t>
        </w:r>
        <w:r w:rsidR="00B04F80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04F80" w:rsidRPr="00314B22">
          <w:rPr>
            <w:rStyle w:val="Collegamentoipertestuale"/>
          </w:rPr>
          <w:t>Dati relativi alla gestione dell’ambito o bacino di affidamento forniti dal gestore</w:t>
        </w:r>
        <w:r w:rsidR="00B04F80">
          <w:rPr>
            <w:webHidden/>
          </w:rPr>
          <w:tab/>
        </w:r>
        <w:r w:rsidR="00B04F80">
          <w:rPr>
            <w:webHidden/>
          </w:rPr>
          <w:fldChar w:fldCharType="begin"/>
        </w:r>
        <w:r w:rsidR="00B04F80">
          <w:rPr>
            <w:webHidden/>
          </w:rPr>
          <w:instrText xml:space="preserve"> PAGEREF _Toc41318243 \h </w:instrText>
        </w:r>
        <w:r w:rsidR="00B04F80">
          <w:rPr>
            <w:webHidden/>
          </w:rPr>
        </w:r>
        <w:r w:rsidR="00B04F80">
          <w:rPr>
            <w:webHidden/>
          </w:rPr>
          <w:fldChar w:fldCharType="separate"/>
        </w:r>
        <w:r w:rsidR="007E08BB">
          <w:rPr>
            <w:webHidden/>
          </w:rPr>
          <w:t>6</w:t>
        </w:r>
        <w:r w:rsidR="00B04F80">
          <w:rPr>
            <w:webHidden/>
          </w:rPr>
          <w:fldChar w:fldCharType="end"/>
        </w:r>
      </w:hyperlink>
    </w:p>
    <w:p w14:paraId="71705E74" w14:textId="4DC9AA8F" w:rsidR="00B04F80" w:rsidRDefault="0055272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tecnici e patrimoniali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7EE470E3" w14:textId="43BBA576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5" w:history="1">
        <w:r w:rsidR="00B04F80" w:rsidRPr="00314B22">
          <w:rPr>
            <w:rStyle w:val="Collegamentoipertestuale"/>
            <w:rFonts w:eastAsia="Times"/>
            <w:noProof/>
          </w:rPr>
          <w:t>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sul territorio gestito e sull’affidamento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1CCBB246" w14:textId="775602DA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variazioni attese di perimetro (PG)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D82DA01" w14:textId="018A4849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7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Scelte adottate/previste in ordine alle variazioni nel perimetro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FF24982" w14:textId="59155EF9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8" w:history="1">
        <w:r w:rsidR="00B04F80" w:rsidRPr="00314B22">
          <w:rPr>
            <w:rStyle w:val="Collegamentoipertestuale"/>
            <w:rFonts w:eastAsia="Times"/>
            <w:noProof/>
          </w:rPr>
          <w:t>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tecnici e di qualità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7CFABE57" w14:textId="63F53DD4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Variazioni attese delle caratteristiche del servizio (QL)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3A64FFB3" w14:textId="0A20B833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Descrizione e motivazione scelte adottate/previste in ordine alle variazioni nelle caratteristiche del servizio che si rendono necessarie nella propria realtà territoriale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FB245AD" w14:textId="51825C68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Obiettivo relativo alla percentuale di raccolta differenziata da conseguire in ciascun comune/affidamento per ciascun anno e il livello effettivamente conseguito nell’anno a-1 e a-2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0527DAEA" w14:textId="15CDF36E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2.1.2.4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risultanze di indagini di soddisfazione degli utenti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6505E70C" w14:textId="18DB704A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3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2.1.2.5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Efficacia delle attività di preparazione per il riutilizzo e il riciclo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E7D9F5C" w14:textId="0C2DB16C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4" w:history="1">
        <w:r w:rsidR="00B04F80" w:rsidRPr="00314B22">
          <w:rPr>
            <w:rStyle w:val="Collegamentoipertestuale"/>
            <w:rFonts w:eastAsia="Times"/>
            <w:noProof/>
          </w:rPr>
          <w:t>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Fonti di finanziamento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4576AC2" w14:textId="62F4AB36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2.1.3.1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delle fonti di finanziamento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8A76240" w14:textId="521A30E5" w:rsidR="00B04F80" w:rsidRDefault="00552725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per la determinazione delle entrate di riferimento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58711FEB" w14:textId="4DB87899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7" w:history="1">
        <w:r w:rsidR="00B04F80" w:rsidRPr="00314B22">
          <w:rPr>
            <w:rStyle w:val="Collegamentoipertestuale"/>
            <w:rFonts w:eastAsia="Times"/>
            <w:noProof/>
          </w:rPr>
          <w:t>2.2.1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di conto economico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06E25F14" w14:textId="4027C3CF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8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Criterio e i driver con il quale sono state ripartite le poste comuni (costi e ricavi)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35663A8A" w14:textId="41145363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dei costi legati alle campagne ambientali e ad eventuali misure di prevenzione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2DE0836B" w14:textId="419EB6D9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CO</w:t>
        </w:r>
        <w:r w:rsidR="00B04F80" w:rsidRPr="00314B22">
          <w:rPr>
            <w:rStyle w:val="Collegamentoipertestuale"/>
            <w:rFonts w:eastAsia="Times"/>
            <w:noProof/>
            <w:vertAlign w:val="subscript"/>
          </w:rPr>
          <w:t>AL,a</w:t>
        </w:r>
        <w:r w:rsidR="00B04F80" w:rsidRPr="00314B22">
          <w:rPr>
            <w:rStyle w:val="Collegamentoipertestuale"/>
            <w:rFonts w:eastAsia="Times"/>
            <w:noProof/>
          </w:rPr>
          <w:t xml:space="preserve"> oneri di funzionamento degli Enti territorialmente competenti, di ARERA, nonché gli oneri locali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191E7E0F" w14:textId="75C4340C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1" w:history="1">
        <w:r w:rsidR="00B04F80" w:rsidRPr="00314B22">
          <w:rPr>
            <w:rStyle w:val="Collegamentoipertestuale"/>
            <w:rFonts w:eastAsia="Times"/>
            <w:noProof/>
          </w:rPr>
          <w:t>2.2.2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Focus sui ricavi derivanti da vendita di materiali e/o energia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41D6C54A" w14:textId="43276FA8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Voci di ricavo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675B786E" w14:textId="2902744C" w:rsidR="00B04F80" w:rsidRDefault="00552725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3" w:history="1">
        <w:r w:rsidR="00B04F80" w:rsidRPr="00314B22">
          <w:rPr>
            <w:rStyle w:val="Collegamentoipertestuale"/>
            <w:rFonts w:eastAsia="Times"/>
            <w:noProof/>
          </w:rPr>
          <w:t>2.2.3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relativi ai costi di capitale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3B27F7EA" w14:textId="552697C2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2.2.3.1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Cespiti afferenti all'area dei costi comuni e generali, descrizione driver di ripartizione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075EB1B0" w14:textId="19CDA667" w:rsidR="00B04F80" w:rsidRDefault="00552725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2.2.3.2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Stime in merito all’esaurimento delle discariche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7AFAF395" w14:textId="56D37312" w:rsidR="002D455F" w:rsidRPr="00773DFA" w:rsidRDefault="005316ED" w:rsidP="00BA7ECE">
      <w:pPr>
        <w:ind w:left="0"/>
      </w:pPr>
      <w:r>
        <w:fldChar w:fldCharType="end"/>
      </w:r>
      <w:r>
        <w:br w:type="page"/>
      </w:r>
    </w:p>
    <w:p w14:paraId="085F9531" w14:textId="77777777" w:rsidR="00AE47BD" w:rsidRPr="00773DFA" w:rsidRDefault="00AE47BD" w:rsidP="007530C0">
      <w:pPr>
        <w:pStyle w:val="Titolo1"/>
      </w:pPr>
      <w:bookmarkStart w:id="0" w:name="_Toc41318230"/>
      <w:r w:rsidRPr="00773DFA">
        <w:lastRenderedPageBreak/>
        <w:t>Relazione di accompagnamento al</w:t>
      </w:r>
      <w:r w:rsidR="004B2D5E" w:rsidRPr="00773DFA">
        <w:t>/i</w:t>
      </w:r>
      <w:r w:rsidRPr="00773DFA">
        <w:t xml:space="preserve"> PEF </w:t>
      </w:r>
      <w:r w:rsidR="00D42999" w:rsidRPr="00773DFA">
        <w:t>predisposta dal gestore</w:t>
      </w:r>
      <w:bookmarkEnd w:id="0"/>
      <w:r w:rsidRPr="00773DFA">
        <w:t xml:space="preserve"> </w:t>
      </w:r>
    </w:p>
    <w:p w14:paraId="55EB283B" w14:textId="77777777" w:rsidR="00B400BB" w:rsidRPr="00773DFA" w:rsidRDefault="00B400BB" w:rsidP="007530C0"/>
    <w:p w14:paraId="39733873" w14:textId="77777777" w:rsidR="00896FD6" w:rsidRPr="00773DFA" w:rsidRDefault="00896FD6" w:rsidP="007530C0">
      <w:pPr>
        <w:pStyle w:val="Titolo2"/>
      </w:pPr>
      <w:bookmarkStart w:id="1" w:name="_Toc41318231"/>
      <w:r w:rsidRPr="00773DFA">
        <w:t>Perimetro della gestione</w:t>
      </w:r>
      <w:r w:rsidR="00664696" w:rsidRPr="00773DFA">
        <w:t xml:space="preserve">/affidamento </w:t>
      </w:r>
      <w:r w:rsidR="00517144" w:rsidRPr="00773DFA">
        <w:t>e servizi forniti</w:t>
      </w:r>
      <w:bookmarkEnd w:id="1"/>
    </w:p>
    <w:p w14:paraId="5EC8A609" w14:textId="57170F4B" w:rsidR="00896FD6" w:rsidRPr="007530C0" w:rsidRDefault="001B0428" w:rsidP="007530C0">
      <w:pPr>
        <w:pStyle w:val="Titolo4"/>
      </w:pPr>
      <w:bookmarkStart w:id="2" w:name="_Toc41318232"/>
      <w:r w:rsidRPr="007530C0">
        <w:t>C</w:t>
      </w:r>
      <w:r w:rsidR="00664696" w:rsidRPr="007530C0">
        <w:t>omuni</w:t>
      </w:r>
      <w:r w:rsidR="00896FD6" w:rsidRPr="007530C0">
        <w:t xml:space="preserve"> servit</w:t>
      </w:r>
      <w:r w:rsidR="00664696" w:rsidRPr="007530C0">
        <w:t>i</w:t>
      </w:r>
      <w:bookmarkEnd w:id="2"/>
    </w:p>
    <w:p w14:paraId="0B5A40B4" w14:textId="3BDE771B" w:rsidR="007530C0" w:rsidRPr="00773DFA" w:rsidRDefault="00DC02BB" w:rsidP="007530C0">
      <w:r>
        <w:t>Magliano di Tenna</w:t>
      </w:r>
      <w:r w:rsidR="00DC47D1">
        <w:t xml:space="preserve"> (</w:t>
      </w:r>
      <w:r w:rsidR="00695C6D">
        <w:t>T</w:t>
      </w:r>
      <w:r w:rsidR="00DC47D1">
        <w:t>E)</w:t>
      </w:r>
    </w:p>
    <w:p w14:paraId="792E82E2" w14:textId="3CF66B9B" w:rsidR="001B0428" w:rsidRDefault="001B0428" w:rsidP="007530C0">
      <w:pPr>
        <w:pStyle w:val="Titolo4"/>
      </w:pPr>
      <w:bookmarkStart w:id="3" w:name="_Toc41318233"/>
      <w:r>
        <w:t>A</w:t>
      </w:r>
      <w:r w:rsidR="00B400BB" w:rsidRPr="00773DFA">
        <w:t>ttività effettuate incluse nel servizio integrato di gestione</w:t>
      </w:r>
      <w:bookmarkEnd w:id="3"/>
      <w:r w:rsidR="00B400BB" w:rsidRPr="00773DFA">
        <w:t xml:space="preserve"> </w:t>
      </w:r>
    </w:p>
    <w:p w14:paraId="548AFD69" w14:textId="779736F6" w:rsidR="00FB58DE" w:rsidRPr="00FB58DE" w:rsidRDefault="00FB58DE" w:rsidP="00FB58DE">
      <w:r>
        <w:t xml:space="preserve">L’AM Consorzio Sociale gestisce su incarico dell’Amministrazione Comunale i servizi di raccolta per il Comune di </w:t>
      </w:r>
      <w:r w:rsidR="00DC02BB">
        <w:t>Magliano di Tenna</w:t>
      </w:r>
      <w:r>
        <w:t xml:space="preserve">. Segue l’elenco dei </w:t>
      </w:r>
      <w:r w:rsidR="00695C6D">
        <w:t xml:space="preserve">principali </w:t>
      </w:r>
      <w:r>
        <w:t>servizi svolti:</w:t>
      </w:r>
    </w:p>
    <w:p w14:paraId="41E97C99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raccolta, trasporto e scarico all'impianto finale di trattamento, della frazione </w:t>
      </w:r>
      <w:r w:rsidRPr="00252C0F">
        <w:rPr>
          <w:b/>
          <w:bCs/>
          <w:sz w:val="24"/>
          <w:szCs w:val="24"/>
        </w:rPr>
        <w:t>umida</w:t>
      </w:r>
      <w:r w:rsidRPr="00252C0F">
        <w:rPr>
          <w:sz w:val="24"/>
          <w:szCs w:val="24"/>
        </w:rPr>
        <w:t xml:space="preserve"> proveniente da locali e luoghi adibiti ad uso di civile abitazione e da utenze di rifiuti assimilati (commerciali, artigianali, ecc.), con modalità domiciliare;</w:t>
      </w:r>
    </w:p>
    <w:p w14:paraId="355DCB7B" w14:textId="39C7663E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imballaggi in </w:t>
      </w:r>
      <w:r w:rsidRPr="00252C0F">
        <w:rPr>
          <w:b/>
          <w:bCs/>
          <w:sz w:val="24"/>
          <w:szCs w:val="24"/>
        </w:rPr>
        <w:t>plastica</w:t>
      </w:r>
      <w:r w:rsidRPr="00252C0F">
        <w:rPr>
          <w:sz w:val="24"/>
          <w:szCs w:val="24"/>
        </w:rPr>
        <w:t xml:space="preserve"> </w:t>
      </w:r>
      <w:r w:rsidR="00DC02BB">
        <w:rPr>
          <w:sz w:val="24"/>
          <w:szCs w:val="24"/>
        </w:rPr>
        <w:t xml:space="preserve">(congiuntamente con gli imballaggi </w:t>
      </w:r>
      <w:r w:rsidR="00DC02BB" w:rsidRPr="00DC02BB">
        <w:rPr>
          <w:sz w:val="24"/>
          <w:szCs w:val="24"/>
        </w:rPr>
        <w:t>in alluminio e barattoli metallici</w:t>
      </w:r>
      <w:r w:rsidR="00DC02BB">
        <w:rPr>
          <w:sz w:val="24"/>
          <w:szCs w:val="24"/>
        </w:rPr>
        <w:t xml:space="preserve">) </w:t>
      </w:r>
      <w:r w:rsidRPr="00252C0F">
        <w:rPr>
          <w:sz w:val="24"/>
          <w:szCs w:val="24"/>
        </w:rPr>
        <w:t>provenienti da locali e luoghi adibiti ad uso di civile abitazione e da utenze di rifiuti assimilati (commerciali, artigianali, uffici, ecc.), con modalità domiciliare e relativo trasporto presso impianto per il riciclaggio;</w:t>
      </w:r>
    </w:p>
    <w:p w14:paraId="6A53F59D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vetro</w:t>
      </w:r>
      <w:r w:rsidRPr="00252C0F">
        <w:rPr>
          <w:sz w:val="24"/>
          <w:szCs w:val="24"/>
        </w:rPr>
        <w:t xml:space="preserve"> proveniente da locali e luoghi adibiti ad uso di civile abitazione e da utenze di rifiuti assimilati (commerciali, artigianali, uffici, ecc.), e relativo trasporto presso impianto per il riciclaggio;</w:t>
      </w:r>
    </w:p>
    <w:p w14:paraId="32027043" w14:textId="1387C95C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imballaggi in alluminio e barattoli metallici</w:t>
      </w:r>
      <w:r w:rsidRPr="00252C0F">
        <w:rPr>
          <w:sz w:val="24"/>
          <w:szCs w:val="24"/>
        </w:rPr>
        <w:t xml:space="preserve"> </w:t>
      </w:r>
      <w:r w:rsidR="00DC47D1">
        <w:rPr>
          <w:sz w:val="24"/>
          <w:szCs w:val="24"/>
        </w:rPr>
        <w:t xml:space="preserve">(congiuntamente con gli imballaggi in plastica) </w:t>
      </w:r>
      <w:r w:rsidRPr="00252C0F">
        <w:rPr>
          <w:sz w:val="24"/>
          <w:szCs w:val="24"/>
        </w:rPr>
        <w:t>provenienti da locali e luoghi adibiti ad uso di civile abitazione e da utenze di rifiuti assimilati (commerciali, artigianali, uffici), con modalità domiciliare e relativo trasporto presso impianto per il riciclaggio;</w:t>
      </w:r>
    </w:p>
    <w:p w14:paraId="2299873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della </w:t>
      </w:r>
      <w:r w:rsidRPr="00252C0F">
        <w:rPr>
          <w:b/>
          <w:bCs/>
          <w:sz w:val="24"/>
          <w:szCs w:val="24"/>
        </w:rPr>
        <w:t>carta</w:t>
      </w:r>
      <w:r w:rsidRPr="00252C0F">
        <w:rPr>
          <w:sz w:val="24"/>
          <w:szCs w:val="24"/>
        </w:rPr>
        <w:t xml:space="preserve"> e del </w:t>
      </w:r>
      <w:r w:rsidRPr="00252C0F">
        <w:rPr>
          <w:b/>
          <w:bCs/>
          <w:sz w:val="24"/>
          <w:szCs w:val="24"/>
        </w:rPr>
        <w:t>cartone</w:t>
      </w:r>
      <w:r w:rsidRPr="00252C0F">
        <w:rPr>
          <w:sz w:val="24"/>
          <w:szCs w:val="24"/>
        </w:rPr>
        <w:t xml:space="preserve"> provenienti da locali e luoghi adibiti ad uso di civile abitazione e da utenze di rifiuti assimilati (commerciali, artigianali, uffici, ecc.), con modalità domiciliare e relativo trasporto presso impianto per il riciclaggio;</w:t>
      </w:r>
    </w:p>
    <w:p w14:paraId="76E530C1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dei rifiuti </w:t>
      </w:r>
      <w:r w:rsidRPr="00252C0F">
        <w:rPr>
          <w:b/>
          <w:bCs/>
          <w:sz w:val="24"/>
          <w:szCs w:val="24"/>
        </w:rPr>
        <w:t>indifferenziabili</w:t>
      </w:r>
      <w:r w:rsidRPr="00252C0F">
        <w:rPr>
          <w:sz w:val="24"/>
          <w:szCs w:val="24"/>
        </w:rPr>
        <w:t xml:space="preserve"> provenienti da locali e luoghi adibiti ad uso di civile abitazione e da utenze di rifiuti assimilati (commerciali, artigianali, uffici ecc.), con modalità domiciliare e relativo trasporto e conferimento presso Impianto di smaltimento;</w:t>
      </w:r>
    </w:p>
    <w:p w14:paraId="518C4BE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farmaci scaduti</w:t>
      </w:r>
      <w:r w:rsidRPr="00252C0F">
        <w:rPr>
          <w:sz w:val="24"/>
          <w:szCs w:val="24"/>
        </w:rPr>
        <w:t>, tramite contenitori ubicati presso farmacie, parafarmacie ed ambulatori medici e relativo trasporto presso idoneo impianto di smaltimento;</w:t>
      </w:r>
    </w:p>
    <w:p w14:paraId="0E48DD6C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pile esauste</w:t>
      </w:r>
      <w:r w:rsidRPr="00252C0F">
        <w:rPr>
          <w:sz w:val="24"/>
          <w:szCs w:val="24"/>
        </w:rPr>
        <w:t>, tramite appositi contenitori ubicati presso gli esercizi commerciali e relativo trasporto presso idoneo impianto di smaltimento;</w:t>
      </w:r>
    </w:p>
    <w:p w14:paraId="2684B4C7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dei rifiuti </w:t>
      </w:r>
      <w:r w:rsidRPr="00252C0F">
        <w:rPr>
          <w:b/>
          <w:bCs/>
          <w:sz w:val="24"/>
          <w:szCs w:val="24"/>
        </w:rPr>
        <w:t xml:space="preserve">ingombranti </w:t>
      </w:r>
      <w:r w:rsidRPr="00252C0F">
        <w:rPr>
          <w:sz w:val="24"/>
          <w:szCs w:val="24"/>
        </w:rPr>
        <w:t>e</w:t>
      </w:r>
      <w:r w:rsidRPr="00252C0F">
        <w:rPr>
          <w:b/>
          <w:bCs/>
          <w:sz w:val="24"/>
          <w:szCs w:val="24"/>
        </w:rPr>
        <w:t xml:space="preserve"> RAEE</w:t>
      </w:r>
      <w:r w:rsidRPr="00252C0F">
        <w:rPr>
          <w:sz w:val="24"/>
          <w:szCs w:val="24"/>
        </w:rPr>
        <w:t>, provenienti da locali e luoghi adibiti ad uso di civile abitazione, con modalità domiciliare e relativo trasporto presso impianto per il riciclaggio;</w:t>
      </w:r>
    </w:p>
    <w:p w14:paraId="4C180604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della frazione </w:t>
      </w:r>
      <w:r w:rsidRPr="00252C0F">
        <w:rPr>
          <w:b/>
          <w:bCs/>
          <w:sz w:val="24"/>
          <w:szCs w:val="24"/>
        </w:rPr>
        <w:t>verde</w:t>
      </w:r>
      <w:r w:rsidRPr="00252C0F">
        <w:rPr>
          <w:sz w:val="24"/>
          <w:szCs w:val="24"/>
        </w:rPr>
        <w:t>, proveniente da utenze civili e da utenze di rifiuti assimilati (commerciali, artigianali, uffici, ecc.), con modalità domiciliare e relativo trasporto presso impianto per il riciclaggio;</w:t>
      </w:r>
    </w:p>
    <w:p w14:paraId="50ABAB7B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indumenti</w:t>
      </w:r>
      <w:r w:rsidRPr="00252C0F">
        <w:rPr>
          <w:sz w:val="24"/>
          <w:szCs w:val="24"/>
        </w:rPr>
        <w:t>, tramite appositi contenitori ubicati nel territorio e relativo trasporto presso idoneo impianto di smaltimento;</w:t>
      </w:r>
    </w:p>
    <w:p w14:paraId="64DE7A54" w14:textId="7FB030C6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oli vegetali di scarto</w:t>
      </w:r>
      <w:r w:rsidRPr="00252C0F">
        <w:rPr>
          <w:sz w:val="24"/>
          <w:szCs w:val="24"/>
        </w:rPr>
        <w:t xml:space="preserve">, tramite appositi contenitori ubicati </w:t>
      </w:r>
      <w:r w:rsidR="00695C6D">
        <w:rPr>
          <w:sz w:val="24"/>
          <w:szCs w:val="24"/>
        </w:rPr>
        <w:t>sul territorio</w:t>
      </w:r>
      <w:r w:rsidRPr="00252C0F">
        <w:rPr>
          <w:sz w:val="24"/>
          <w:szCs w:val="24"/>
        </w:rPr>
        <w:t xml:space="preserve"> e relativo trasporto presso idoneo impianto di smaltimento;</w:t>
      </w:r>
    </w:p>
    <w:p w14:paraId="4607D0E4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lastRenderedPageBreak/>
        <w:t xml:space="preserve">raccolta di </w:t>
      </w:r>
      <w:r w:rsidRPr="00252C0F">
        <w:rPr>
          <w:b/>
          <w:bCs/>
          <w:sz w:val="24"/>
          <w:szCs w:val="24"/>
        </w:rPr>
        <w:t>rifiuti</w:t>
      </w:r>
      <w:r w:rsidRPr="00252C0F">
        <w:rPr>
          <w:sz w:val="24"/>
          <w:szCs w:val="24"/>
        </w:rPr>
        <w:t xml:space="preserve"> di qualunque natura o provenienza, </w:t>
      </w:r>
      <w:r w:rsidRPr="00252C0F">
        <w:rPr>
          <w:b/>
          <w:bCs/>
          <w:sz w:val="24"/>
          <w:szCs w:val="24"/>
        </w:rPr>
        <w:t>giacenti sulle strade ed aree pubbliche</w:t>
      </w:r>
      <w:r w:rsidRPr="00252C0F">
        <w:rPr>
          <w:sz w:val="24"/>
          <w:szCs w:val="24"/>
        </w:rPr>
        <w:t xml:space="preserve"> o sulle strade ed aree private comunque soggette ad uso pubblico, così come definiti dalla lettera d) dell'art. 184 del D. Lgs. 3.4.2006 n° 152 e relativo trasporto presso impianto di smaltimento e/o riciclaggio;</w:t>
      </w:r>
    </w:p>
    <w:p w14:paraId="779E6B19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fornitura di </w:t>
      </w:r>
      <w:r w:rsidRPr="00252C0F">
        <w:rPr>
          <w:b/>
          <w:bCs/>
          <w:sz w:val="24"/>
          <w:szCs w:val="24"/>
        </w:rPr>
        <w:t>contenitori</w:t>
      </w:r>
      <w:r w:rsidRPr="00252C0F">
        <w:rPr>
          <w:sz w:val="24"/>
          <w:szCs w:val="24"/>
        </w:rPr>
        <w:t xml:space="preserve"> di diversa volumetria, per ogni singola tipologia di rifiuto, per le utenze domestiche ed esercizi commerciali, artigianali ed uffici; obbligo relativo alla immediata sostituzione dei contenitori distrutti, resi inutilizzabili da atti vandalici e incidenti stradali o oggetto di furto, segnalando al Committente l'intervento.</w:t>
      </w:r>
    </w:p>
    <w:p w14:paraId="1FEE3F08" w14:textId="5513CF6C" w:rsidR="007530C0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realizzazione di campagne di </w:t>
      </w:r>
      <w:r w:rsidRPr="00252C0F">
        <w:rPr>
          <w:b/>
          <w:bCs/>
          <w:sz w:val="24"/>
          <w:szCs w:val="24"/>
        </w:rPr>
        <w:t>informazione</w:t>
      </w:r>
      <w:r w:rsidRPr="00252C0F">
        <w:rPr>
          <w:sz w:val="24"/>
          <w:szCs w:val="24"/>
        </w:rPr>
        <w:t xml:space="preserve"> e sensibilizzazione ambientale;</w:t>
      </w:r>
    </w:p>
    <w:p w14:paraId="74094DD4" w14:textId="61E4CC8E" w:rsidR="00695C6D" w:rsidRPr="00252C0F" w:rsidRDefault="00695C6D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servizio </w:t>
      </w:r>
      <w:proofErr w:type="spellStart"/>
      <w:r>
        <w:rPr>
          <w:sz w:val="24"/>
          <w:szCs w:val="24"/>
        </w:rPr>
        <w:t>ecosportello</w:t>
      </w:r>
      <w:proofErr w:type="spellEnd"/>
      <w:r>
        <w:rPr>
          <w:sz w:val="24"/>
          <w:szCs w:val="24"/>
        </w:rPr>
        <w:t xml:space="preserve"> per informazione e fornitura materiali;</w:t>
      </w:r>
    </w:p>
    <w:p w14:paraId="11F4CC4F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controllo di qualità di tutti i servizi prestati;</w:t>
      </w:r>
    </w:p>
    <w:p w14:paraId="774EA13A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fornitura e manutenzione degli automezzi necessari per lo svolgimento del servizio;</w:t>
      </w:r>
    </w:p>
    <w:p w14:paraId="1E8C268F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fornitura di personale, carburanti, lubrificanti, assicurazioni e quant'altro sia necessario per il funzionamento dei mezzi necessari all’espletamento del servizio;</w:t>
      </w:r>
    </w:p>
    <w:p w14:paraId="01AFF26D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interventi di miglioria e manutenzione che dovessero rendersi necessari ad assicurare alle attrezzature, mezzi e strutture una perfetta funzionalità, la conservazione nel tempo, la prevenzione da avarie, il contenimento dei costi di esercizio.</w:t>
      </w:r>
    </w:p>
    <w:p w14:paraId="55F3F51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trattamento dei rifiuti secchi (carta, cartone, plastica, metalli, vetro) provenienti dalle raccolte differenziate</w:t>
      </w:r>
    </w:p>
    <w:p w14:paraId="0B0E8E17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trattamento dei rifiuti </w:t>
      </w:r>
      <w:r w:rsidRPr="00252C0F">
        <w:rPr>
          <w:b/>
          <w:bCs/>
          <w:sz w:val="24"/>
          <w:szCs w:val="24"/>
        </w:rPr>
        <w:t>organici</w:t>
      </w:r>
      <w:r w:rsidRPr="00252C0F">
        <w:rPr>
          <w:sz w:val="24"/>
          <w:szCs w:val="24"/>
        </w:rPr>
        <w:t xml:space="preserve"> provenienti dalle raccolte differenziate</w:t>
      </w:r>
    </w:p>
    <w:p w14:paraId="486DAFD8" w14:textId="23FC4F2A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trattamento </w:t>
      </w:r>
      <w:r w:rsidRPr="00252C0F">
        <w:rPr>
          <w:b/>
          <w:bCs/>
          <w:sz w:val="24"/>
          <w:szCs w:val="24"/>
        </w:rPr>
        <w:t>ingombranti e RAEE</w:t>
      </w:r>
      <w:r w:rsidRPr="00252C0F">
        <w:rPr>
          <w:sz w:val="24"/>
          <w:szCs w:val="24"/>
        </w:rPr>
        <w:t>, provenienti dalle raccolte differenziate</w:t>
      </w:r>
    </w:p>
    <w:p w14:paraId="32FFC0BE" w14:textId="684CB79D" w:rsidR="007530C0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trattamento rifiuti </w:t>
      </w:r>
      <w:r w:rsidRPr="00252C0F">
        <w:rPr>
          <w:b/>
          <w:bCs/>
          <w:sz w:val="24"/>
          <w:szCs w:val="24"/>
        </w:rPr>
        <w:t>verdi</w:t>
      </w:r>
      <w:r w:rsidRPr="00252C0F">
        <w:rPr>
          <w:sz w:val="24"/>
          <w:szCs w:val="24"/>
        </w:rPr>
        <w:t>, provenienti dalle raccolte differenziate</w:t>
      </w:r>
    </w:p>
    <w:p w14:paraId="622CDF2B" w14:textId="17924FF9" w:rsidR="00DC02BB" w:rsidRDefault="00DC02BB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DC02BB">
        <w:rPr>
          <w:sz w:val="24"/>
          <w:szCs w:val="24"/>
        </w:rPr>
        <w:t>gestione del centro comunale di raccolta (ecocentro)</w:t>
      </w:r>
    </w:p>
    <w:p w14:paraId="10CABE52" w14:textId="254CF327" w:rsidR="007530C0" w:rsidRDefault="007530C0" w:rsidP="007530C0"/>
    <w:p w14:paraId="529697BC" w14:textId="4CF3FB2C" w:rsidR="00896FD6" w:rsidRDefault="001B0428" w:rsidP="007530C0">
      <w:pPr>
        <w:pStyle w:val="Titolo4"/>
      </w:pPr>
      <w:bookmarkStart w:id="4" w:name="_Toc41318234"/>
      <w:r>
        <w:t>A</w:t>
      </w:r>
      <w:r w:rsidR="00F21028" w:rsidRPr="00773DFA">
        <w:t xml:space="preserve">ttività </w:t>
      </w:r>
      <w:r w:rsidRPr="00773DFA">
        <w:t xml:space="preserve">effettuate </w:t>
      </w:r>
      <w:r w:rsidR="00F21028" w:rsidRPr="00773DFA">
        <w:t xml:space="preserve">esterne al servizio </w:t>
      </w:r>
      <w:r w:rsidR="00D91639" w:rsidRPr="00773DFA">
        <w:t xml:space="preserve">integrato </w:t>
      </w:r>
      <w:r w:rsidR="00F21028" w:rsidRPr="00773DFA">
        <w:t>di gestione</w:t>
      </w:r>
      <w:bookmarkEnd w:id="4"/>
    </w:p>
    <w:p w14:paraId="46F7A758" w14:textId="4218EA57" w:rsidR="007530C0" w:rsidRPr="00773DFA" w:rsidRDefault="00252C0F" w:rsidP="007530C0">
      <w:r>
        <w:t>...</w:t>
      </w:r>
    </w:p>
    <w:p w14:paraId="424682D7" w14:textId="467C44DB" w:rsidR="00F71EFD" w:rsidRDefault="001B0428" w:rsidP="007530C0">
      <w:pPr>
        <w:pStyle w:val="Titolo4"/>
      </w:pPr>
      <w:bookmarkStart w:id="5" w:name="_Toc41318235"/>
      <w:r>
        <w:t>M</w:t>
      </w:r>
      <w:r w:rsidR="00D91639" w:rsidRPr="00773DFA">
        <w:t>icro</w:t>
      </w:r>
      <w:r w:rsidR="00252C0F">
        <w:t>-</w:t>
      </w:r>
      <w:r w:rsidR="00D91639" w:rsidRPr="00773DFA">
        <w:t>raccolta dell’amianto</w:t>
      </w:r>
      <w:bookmarkEnd w:id="5"/>
    </w:p>
    <w:p w14:paraId="76589607" w14:textId="4317BCB1" w:rsidR="007530C0" w:rsidRPr="00773DFA" w:rsidRDefault="00252C0F" w:rsidP="007530C0">
      <w:r w:rsidRPr="00252C0F">
        <w:t>La micro</w:t>
      </w:r>
      <w:r>
        <w:t>-raccolta</w:t>
      </w:r>
      <w:r w:rsidRPr="00252C0F">
        <w:t xml:space="preserve"> dell'amianto da utenze domestiche non è compresa tra le attività di gestione dei rifiuti urbani</w:t>
      </w:r>
      <w:r>
        <w:t>.</w:t>
      </w:r>
    </w:p>
    <w:p w14:paraId="42C32FFE" w14:textId="3F80795D" w:rsidR="001B0428" w:rsidRPr="007530C0" w:rsidRDefault="001B0428" w:rsidP="007530C0">
      <w:pPr>
        <w:pStyle w:val="Titolo4"/>
      </w:pPr>
      <w:bookmarkStart w:id="6" w:name="_Toc41318236"/>
      <w:r w:rsidRPr="007530C0">
        <w:t>E</w:t>
      </w:r>
      <w:r w:rsidR="00896FD6" w:rsidRPr="007530C0">
        <w:t xml:space="preserve">ventuale cessazione o acquisizione di </w:t>
      </w:r>
      <w:r w:rsidR="00664696" w:rsidRPr="007530C0">
        <w:t xml:space="preserve">comuni </w:t>
      </w:r>
      <w:r w:rsidR="00896FD6" w:rsidRPr="007530C0">
        <w:t>servit</w:t>
      </w:r>
      <w:r w:rsidR="00664696" w:rsidRPr="007530C0">
        <w:t>i</w:t>
      </w:r>
      <w:r w:rsidR="00896FD6" w:rsidRPr="007530C0">
        <w:t>, servizi forniti o attività</w:t>
      </w:r>
      <w:r w:rsidR="00F21028" w:rsidRPr="007530C0">
        <w:t xml:space="preserve"> avvenuta a partire dal</w:t>
      </w:r>
      <w:r w:rsidR="00F21028" w:rsidRPr="00773DFA">
        <w:t xml:space="preserve"> </w:t>
      </w:r>
      <w:r w:rsidR="00F21028" w:rsidRPr="007530C0">
        <w:t>2018</w:t>
      </w:r>
      <w:bookmarkEnd w:id="6"/>
    </w:p>
    <w:p w14:paraId="3EBCB123" w14:textId="0E141CDA" w:rsidR="007530C0" w:rsidRDefault="00252C0F" w:rsidP="007530C0">
      <w:r>
        <w:t>...</w:t>
      </w:r>
    </w:p>
    <w:p w14:paraId="26163E76" w14:textId="67E46913" w:rsidR="00896FD6" w:rsidRDefault="001B0428" w:rsidP="007530C0">
      <w:pPr>
        <w:pStyle w:val="Titolo4"/>
      </w:pPr>
      <w:bookmarkStart w:id="7" w:name="_Toc41318237"/>
      <w:r>
        <w:t>D</w:t>
      </w:r>
      <w:r w:rsidR="00896FD6" w:rsidRPr="00773DFA">
        <w:t>ate delle modifiche</w:t>
      </w:r>
      <w:r w:rsidR="00131398" w:rsidRPr="00773DFA">
        <w:t xml:space="preserve"> nel servizio integrato</w:t>
      </w:r>
      <w:bookmarkEnd w:id="7"/>
    </w:p>
    <w:p w14:paraId="409FE42E" w14:textId="02398C95" w:rsidR="007530C0" w:rsidRDefault="00252C0F" w:rsidP="007530C0">
      <w:r>
        <w:t>...</w:t>
      </w:r>
    </w:p>
    <w:p w14:paraId="3E66EBDD" w14:textId="5101903A" w:rsidR="00896FD6" w:rsidRDefault="001B0428" w:rsidP="007530C0">
      <w:pPr>
        <w:pStyle w:val="Titolo4"/>
      </w:pPr>
      <w:bookmarkStart w:id="8" w:name="_Toc41318238"/>
      <w:r>
        <w:t>E</w:t>
      </w:r>
      <w:r w:rsidR="00896FD6" w:rsidRPr="00773DFA">
        <w:t>ventuali criteri generali di ricostruzione dei dati</w:t>
      </w:r>
      <w:bookmarkEnd w:id="8"/>
    </w:p>
    <w:p w14:paraId="6D095E7B" w14:textId="57C63640" w:rsidR="00252C0F" w:rsidRDefault="00252C0F" w:rsidP="00252C0F">
      <w:r>
        <w:t xml:space="preserve">Il PEF richiesto, secondo le nuove norme emanate dall’ARERA con deliberazione n. 443/2019, fa riferimento a costi efficienti dell’anno 2018, secondo quanto specificato nell’Art. 6, comma 6.2 dell’Allegato A della deliberazione su richiamata: “I costi efficienti di esercizio e di investimento riconosciuti per ciascun anno a = {2020,2021} per il servizio del ciclo integrato sono determinati sulla base di quelli effettivi rilevati nell’anno di riferimento (a...2) come risultanti da fonti contabili obbligatorie.” </w:t>
      </w:r>
    </w:p>
    <w:p w14:paraId="0D736391" w14:textId="77777777" w:rsidR="0034191C" w:rsidRPr="00773DFA" w:rsidRDefault="0034191C" w:rsidP="007530C0"/>
    <w:p w14:paraId="1EBF62D5" w14:textId="77777777" w:rsidR="0034191C" w:rsidRPr="00773DFA" w:rsidRDefault="0034191C" w:rsidP="007530C0">
      <w:pPr>
        <w:pStyle w:val="Titolo2"/>
      </w:pPr>
      <w:bookmarkStart w:id="9" w:name="_Toc41318239"/>
      <w:r w:rsidRPr="00773DFA">
        <w:lastRenderedPageBreak/>
        <w:t>Altre informazioni rilevanti</w:t>
      </w:r>
      <w:bookmarkEnd w:id="9"/>
    </w:p>
    <w:p w14:paraId="285AF0E3" w14:textId="1402E762" w:rsidR="0034191C" w:rsidRDefault="001B0428" w:rsidP="007530C0">
      <w:pPr>
        <w:pStyle w:val="Titolo4"/>
      </w:pPr>
      <w:bookmarkStart w:id="10" w:name="_Toc41318240"/>
      <w:r>
        <w:t>S</w:t>
      </w:r>
      <w:r w:rsidR="00131398" w:rsidRPr="00773DFA">
        <w:t xml:space="preserve">tato </w:t>
      </w:r>
      <w:r w:rsidR="0034191C" w:rsidRPr="00773DFA">
        <w:t>giuridico</w:t>
      </w:r>
      <w:r w:rsidR="00252C0F">
        <w:t>-</w:t>
      </w:r>
      <w:r w:rsidR="0034191C" w:rsidRPr="00773DFA">
        <w:t>patrimoniale (es. procedure fallimentari, concordato preventivo, altro)</w:t>
      </w:r>
      <w:bookmarkEnd w:id="10"/>
    </w:p>
    <w:p w14:paraId="67399A5F" w14:textId="02432A86" w:rsidR="007530C0" w:rsidRPr="00773DFA" w:rsidRDefault="00252C0F" w:rsidP="007530C0">
      <w:r>
        <w:t>...</w:t>
      </w:r>
    </w:p>
    <w:p w14:paraId="43D7F714" w14:textId="73CAA339" w:rsidR="0034191C" w:rsidRDefault="001B0428" w:rsidP="007530C0">
      <w:pPr>
        <w:pStyle w:val="Titolo4"/>
      </w:pPr>
      <w:bookmarkStart w:id="11" w:name="_Toc41318241"/>
      <w:r>
        <w:t>R</w:t>
      </w:r>
      <w:r w:rsidR="0034191C" w:rsidRPr="00773DFA">
        <w:t>icorsi pendenti</w:t>
      </w:r>
      <w:bookmarkEnd w:id="11"/>
    </w:p>
    <w:p w14:paraId="3FE4C55B" w14:textId="089CD8DC" w:rsidR="007530C0" w:rsidRPr="00773DFA" w:rsidRDefault="00252C0F" w:rsidP="007530C0">
      <w:r>
        <w:t>...</w:t>
      </w:r>
    </w:p>
    <w:p w14:paraId="4F2E8019" w14:textId="6E1AB8A7" w:rsidR="0034191C" w:rsidRDefault="001B0428" w:rsidP="007530C0">
      <w:pPr>
        <w:pStyle w:val="Titolo4"/>
      </w:pPr>
      <w:bookmarkStart w:id="12" w:name="_Toc41318242"/>
      <w:r>
        <w:t>S</w:t>
      </w:r>
      <w:r w:rsidR="0034191C" w:rsidRPr="00773DFA">
        <w:t>entenze passate in giudicato</w:t>
      </w:r>
      <w:bookmarkEnd w:id="12"/>
    </w:p>
    <w:p w14:paraId="122AE05F" w14:textId="7BC38E6B" w:rsidR="007530C0" w:rsidRPr="00773DFA" w:rsidRDefault="00252C0F" w:rsidP="007530C0">
      <w:r>
        <w:t>...</w:t>
      </w:r>
    </w:p>
    <w:p w14:paraId="68735444" w14:textId="77777777" w:rsidR="00FF6A01" w:rsidRPr="00773DFA" w:rsidRDefault="00FF6A01" w:rsidP="007530C0"/>
    <w:p w14:paraId="2B7491FE" w14:textId="6ED4EE0D" w:rsidR="005316ED" w:rsidRDefault="00FF6A01" w:rsidP="007530C0">
      <w:pPr>
        <w:pStyle w:val="Titolo1"/>
      </w:pPr>
      <w:bookmarkStart w:id="13" w:name="_Toc41318243"/>
      <w:r w:rsidRPr="00773DFA">
        <w:t xml:space="preserve">Dati relativi alla gestione </w:t>
      </w:r>
      <w:r w:rsidR="00594C60" w:rsidRPr="00773DFA">
        <w:t>dell’ambito o bacino di affidamento</w:t>
      </w:r>
      <w:r w:rsidR="00D42999" w:rsidRPr="00773DFA">
        <w:t xml:space="preserve"> forniti dal gestore</w:t>
      </w:r>
      <w:bookmarkEnd w:id="13"/>
    </w:p>
    <w:p w14:paraId="7CC385A0" w14:textId="277237C7" w:rsidR="00807D51" w:rsidRDefault="00807D51" w:rsidP="0057368C">
      <w:r>
        <w:t xml:space="preserve">L’AM Consorzio Sociale gestisce su incarico dell’Amministrazione Comunale i servizi di raccolta e può fornire i seguenti dati, i cui valori sono riportati anche nell’allegato </w:t>
      </w:r>
      <w:proofErr w:type="spellStart"/>
      <w:r>
        <w:t>excel</w:t>
      </w:r>
      <w:proofErr w:type="spellEnd"/>
      <w:r>
        <w:t>.</w:t>
      </w:r>
    </w:p>
    <w:p w14:paraId="52388C86" w14:textId="77777777" w:rsidR="00807D51" w:rsidRDefault="00807D51" w:rsidP="0057368C"/>
    <w:p w14:paraId="760E620B" w14:textId="1F888C9B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raccolta e trasporto dei rifiuti urbani indifferenziati –  CRT</w:t>
      </w:r>
      <w:r w:rsidR="00FB698C" w:rsidRPr="000131C9">
        <w:rPr>
          <w:b/>
          <w:bCs/>
        </w:rPr>
        <w:t xml:space="preserve"> e costi dell’attività di raccolta e trasporto delle frazioni differenziate – CRD</w:t>
      </w:r>
    </w:p>
    <w:p w14:paraId="5B61695B" w14:textId="4313AE7C" w:rsidR="00B2081B" w:rsidRDefault="00B2081B" w:rsidP="00B2081B"/>
    <w:p w14:paraId="1D77EF2F" w14:textId="77777777" w:rsidR="008009D7" w:rsidRDefault="008009D7" w:rsidP="00B2081B"/>
    <w:p w14:paraId="6519B07F" w14:textId="461B3974" w:rsidR="00B2081B" w:rsidRDefault="00B2081B" w:rsidP="00B2081B">
      <w:r>
        <w:t>Il servizio viene svolto con le seguenti risorse:</w:t>
      </w:r>
    </w:p>
    <w:p w14:paraId="14C0E4DF" w14:textId="77777777" w:rsidR="00B2081B" w:rsidRDefault="00B2081B" w:rsidP="00B2081B"/>
    <w:p w14:paraId="4F869D88" w14:textId="5E0F8728" w:rsidR="00B2081B" w:rsidRDefault="00B2081B" w:rsidP="003234FC">
      <w:pPr>
        <w:jc w:val="center"/>
      </w:pPr>
      <w:r>
        <w:t>mezzi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894"/>
      </w:tblGrid>
      <w:tr w:rsidR="00A76C78" w:rsidRPr="00B2081B" w14:paraId="45BA13F6" w14:textId="77777777" w:rsidTr="00177CC9">
        <w:trPr>
          <w:trHeight w:val="225"/>
          <w:jc w:val="center"/>
        </w:trPr>
        <w:tc>
          <w:tcPr>
            <w:tcW w:w="4488" w:type="dxa"/>
            <w:shd w:val="clear" w:color="auto" w:fill="auto"/>
            <w:noWrap/>
            <w:vAlign w:val="bottom"/>
          </w:tcPr>
          <w:p w14:paraId="1431D2FB" w14:textId="75CD012C" w:rsidR="00A76C78" w:rsidRPr="00B2081B" w:rsidRDefault="00A76C78" w:rsidP="00A76C78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 xml:space="preserve">Costipatore telaio tipo IVECO 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4" w:type="dxa"/>
          </w:tcPr>
          <w:p w14:paraId="56779C75" w14:textId="7603F021" w:rsidR="00A76C78" w:rsidRDefault="00177CC9" w:rsidP="00A76C78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22643701" w14:textId="77777777" w:rsidR="008B68C1" w:rsidRDefault="008B68C1" w:rsidP="00B2081B"/>
    <w:p w14:paraId="14D0506C" w14:textId="799EF6EE" w:rsidR="00B2081B" w:rsidRDefault="00B2081B" w:rsidP="003234FC">
      <w:pPr>
        <w:jc w:val="center"/>
      </w:pPr>
      <w:r>
        <w:t>personale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894"/>
      </w:tblGrid>
      <w:tr w:rsidR="00571A21" w:rsidRPr="00B2081B" w14:paraId="0E72AF6E" w14:textId="70CE79E9" w:rsidTr="00177CC9">
        <w:trPr>
          <w:trHeight w:val="225"/>
          <w:jc w:val="center"/>
        </w:trPr>
        <w:tc>
          <w:tcPr>
            <w:tcW w:w="4488" w:type="dxa"/>
            <w:shd w:val="clear" w:color="000000" w:fill="F6F2E2"/>
            <w:noWrap/>
            <w:vAlign w:val="bottom"/>
            <w:hideMark/>
          </w:tcPr>
          <w:p w14:paraId="4692F2A0" w14:textId="5C0683BF" w:rsidR="00571A21" w:rsidRPr="00B2081B" w:rsidRDefault="00571A21" w:rsidP="00603797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>Autista</w:t>
            </w:r>
          </w:p>
        </w:tc>
        <w:tc>
          <w:tcPr>
            <w:tcW w:w="894" w:type="dxa"/>
            <w:shd w:val="clear" w:color="000000" w:fill="F6F2E2"/>
          </w:tcPr>
          <w:p w14:paraId="3C27C04D" w14:textId="3BDDC2C6" w:rsidR="00571A21" w:rsidRPr="00B2081B" w:rsidRDefault="00177CC9" w:rsidP="00571A21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31773E04" w14:textId="77777777" w:rsidR="00B2081B" w:rsidRPr="00B2081B" w:rsidRDefault="00B2081B" w:rsidP="00B2081B"/>
    <w:p w14:paraId="61952392" w14:textId="77777777" w:rsidR="008009D7" w:rsidRDefault="008009D7" w:rsidP="000131C9">
      <w:pPr>
        <w:ind w:left="426"/>
        <w:rPr>
          <w:b/>
          <w:bCs/>
        </w:rPr>
      </w:pPr>
    </w:p>
    <w:p w14:paraId="7700D7C2" w14:textId="77777777" w:rsidR="008009D7" w:rsidRDefault="008009D7" w:rsidP="000131C9">
      <w:pPr>
        <w:ind w:left="426"/>
        <w:rPr>
          <w:b/>
          <w:bCs/>
        </w:rPr>
      </w:pPr>
    </w:p>
    <w:p w14:paraId="2CCA7D34" w14:textId="77777777" w:rsidR="008009D7" w:rsidRDefault="008009D7" w:rsidP="000131C9">
      <w:pPr>
        <w:ind w:left="426"/>
        <w:rPr>
          <w:b/>
          <w:bCs/>
        </w:rPr>
      </w:pPr>
    </w:p>
    <w:p w14:paraId="0828C7DE" w14:textId="76621B9E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trattamento e smaltimento dei rifiuti urbani – CTS</w:t>
      </w:r>
      <w:r w:rsidR="00FB698C" w:rsidRPr="000131C9">
        <w:rPr>
          <w:b/>
          <w:bCs/>
        </w:rPr>
        <w:t xml:space="preserve"> e c</w:t>
      </w:r>
      <w:r w:rsidRPr="000131C9">
        <w:rPr>
          <w:b/>
          <w:bCs/>
        </w:rPr>
        <w:t>osti dell’attività di trattamento e recupero dei rifiuti urbani – CTR</w:t>
      </w:r>
    </w:p>
    <w:p w14:paraId="6BE5EBA3" w14:textId="77777777" w:rsidR="00BA7ECE" w:rsidRPr="000131C9" w:rsidRDefault="00BA7ECE" w:rsidP="000131C9">
      <w:pPr>
        <w:ind w:left="426"/>
        <w:rPr>
          <w:b/>
          <w:bCs/>
        </w:rPr>
      </w:pPr>
    </w:p>
    <w:p w14:paraId="24350682" w14:textId="6F31F0A8" w:rsidR="00FB698C" w:rsidRDefault="00DD2468" w:rsidP="008B68C1">
      <w:r>
        <w:t xml:space="preserve">I rifiuti </w:t>
      </w:r>
      <w:r w:rsidR="00FB698C">
        <w:t>raccolti nel servizio sono i seguenti.</w:t>
      </w:r>
      <w:r w:rsidR="00FB58DE">
        <w:t xml:space="preserve"> </w:t>
      </w:r>
      <w:r w:rsidR="00FB698C">
        <w:t xml:space="preserve">Le quantità sono espresse in </w:t>
      </w:r>
      <w:r w:rsidR="00603797">
        <w:t>kg</w:t>
      </w:r>
      <w:r w:rsidR="00FB698C">
        <w:t>.</w:t>
      </w:r>
    </w:p>
    <w:p w14:paraId="69EA42C8" w14:textId="5B10E645" w:rsidR="008009D7" w:rsidRDefault="008009D7" w:rsidP="008B68C1"/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524"/>
        <w:gridCol w:w="524"/>
        <w:gridCol w:w="524"/>
        <w:gridCol w:w="556"/>
        <w:gridCol w:w="556"/>
        <w:gridCol w:w="524"/>
        <w:gridCol w:w="702"/>
        <w:gridCol w:w="702"/>
        <w:gridCol w:w="524"/>
        <w:gridCol w:w="524"/>
        <w:gridCol w:w="702"/>
        <w:gridCol w:w="702"/>
        <w:gridCol w:w="524"/>
        <w:gridCol w:w="524"/>
        <w:gridCol w:w="524"/>
        <w:gridCol w:w="699"/>
      </w:tblGrid>
      <w:tr w:rsidR="00177CC9" w:rsidRPr="00177CC9" w14:paraId="61ADCDCD" w14:textId="77777777" w:rsidTr="00177CC9">
        <w:trPr>
          <w:trHeight w:val="145"/>
        </w:trPr>
        <w:tc>
          <w:tcPr>
            <w:tcW w:w="97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0A7B7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i/>
                <w:iCs/>
                <w:color w:val="000000"/>
                <w:sz w:val="18"/>
                <w:szCs w:val="18"/>
              </w:rPr>
            </w:pPr>
            <w:r w:rsidRPr="00177CC9">
              <w:rPr>
                <w:rFonts w:ascii="Arial Narrow" w:hAnsi="Arial Narrow" w:cs="Calibri"/>
                <w:i/>
                <w:iCs/>
                <w:color w:val="000000"/>
                <w:sz w:val="18"/>
                <w:szCs w:val="18"/>
              </w:rPr>
              <w:t>COMUNE MAGLIANO DI TENNA - RIFIUTI DIFFERENZIATI 2018</w:t>
            </w:r>
          </w:p>
          <w:p w14:paraId="7AD53DB9" w14:textId="082FB391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77CC9" w:rsidRPr="00177CC9" w14:paraId="6B341416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BD2B6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MESE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6166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150103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0587E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150106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B0B0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150107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22ACD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4C73E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07B55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C5BD6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  <w:t>200121/R5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0E1B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  <w:t>200123/R1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E0825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sz w:val="14"/>
                <w:szCs w:val="14"/>
              </w:rPr>
              <w:t>200125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F4774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sz w:val="14"/>
                <w:szCs w:val="14"/>
              </w:rPr>
              <w:t>200132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FCEE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  <w:t>200135/R3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0263E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FF0000"/>
                <w:sz w:val="14"/>
                <w:szCs w:val="14"/>
              </w:rPr>
              <w:t>200136/R4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EFD1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003E5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644EE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200307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3479D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14"/>
                <w:szCs w:val="14"/>
              </w:rPr>
              <w:t>TOT</w:t>
            </w:r>
          </w:p>
        </w:tc>
      </w:tr>
      <w:tr w:rsidR="00177CC9" w:rsidRPr="00177CC9" w14:paraId="01BAE82F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730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gen-18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724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866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9.020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117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836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14.420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2F6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16.160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46D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2CB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CE5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83C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3EF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020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383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5B4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DA4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A85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1E4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49.528</w:t>
            </w:r>
          </w:p>
        </w:tc>
      </w:tr>
      <w:tr w:rsidR="00177CC9" w:rsidRPr="00177CC9" w14:paraId="024779EC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A6A0AB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feb-18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12B252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F3D19B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610656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7.900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E10392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F6D613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12.680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238335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1170DF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C7E8EE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E3CD7D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F2FFA5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EA3A2C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6A8E84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8E42E9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4DCD45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6CAD3E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E2F93D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37.780</w:t>
            </w:r>
          </w:p>
        </w:tc>
      </w:tr>
      <w:tr w:rsidR="00177CC9" w:rsidRPr="00177CC9" w14:paraId="71978ADC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0BE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mar-18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8D7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D1F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768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7.680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E5D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4A2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18.510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BD0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61C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E30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936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CD0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73F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80B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8AD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B03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3FF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D41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60.990</w:t>
            </w:r>
          </w:p>
        </w:tc>
      </w:tr>
      <w:tr w:rsidR="00177CC9" w:rsidRPr="00177CC9" w14:paraId="02DC55F0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DB71A9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apr-18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4834E9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C6B0B3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19A095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D64DF3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1D50D7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17.430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571593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877FFB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E9A424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EECC71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C9F043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B718ED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E80C3C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CE3EA6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EA38ED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5.890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3AA99E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1.660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2DF12A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34.560</w:t>
            </w:r>
          </w:p>
        </w:tc>
      </w:tr>
      <w:tr w:rsidR="00177CC9" w:rsidRPr="00177CC9" w14:paraId="68DDF03B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788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mag-18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CB6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543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9.380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5A8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2FD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A27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AAB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153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934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28E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BCE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C0B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9A3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8A2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916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11.730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DB7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1.480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280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69.150</w:t>
            </w:r>
          </w:p>
        </w:tc>
      </w:tr>
      <w:tr w:rsidR="00177CC9" w:rsidRPr="00177CC9" w14:paraId="7848B065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555F72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giu-18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DF7665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71DE2E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096CD4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5.820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44CEA7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5CBA56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094656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802571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CD2E15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11ADED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EE3554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24ADAE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CBCED7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6EFD45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9B0DD3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123BD9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32CC9D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45.420</w:t>
            </w:r>
          </w:p>
        </w:tc>
      </w:tr>
      <w:tr w:rsidR="00177CC9" w:rsidRPr="00177CC9" w14:paraId="0F022778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163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lug-18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274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86B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10.740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B4E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331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12.780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F64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16.780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3A5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DDF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0A7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913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828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906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0E8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E04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F29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175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57C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50.030</w:t>
            </w:r>
          </w:p>
        </w:tc>
      </w:tr>
      <w:tr w:rsidR="00177CC9" w:rsidRPr="00177CC9" w14:paraId="1FC8E0A9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0B0F1D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ago-18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F39ED3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C4E2E5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E54DE6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8E4052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12.040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EA79CA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18.770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F31EF4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9B4BE7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5FB04D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9F5756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8A5232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242F81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E358C6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57849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3873C0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61591F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48E3D0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43.710</w:t>
            </w:r>
          </w:p>
        </w:tc>
      </w:tr>
      <w:tr w:rsidR="00177CC9" w:rsidRPr="00177CC9" w14:paraId="047F33BE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6B1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set-18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437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1EF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5.740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C12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D41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10.340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B98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15.830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C3E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9C0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D4D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127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567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068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CB2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387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ED0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75F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778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48.445</w:t>
            </w:r>
          </w:p>
        </w:tc>
      </w:tr>
      <w:tr w:rsidR="00177CC9" w:rsidRPr="00177CC9" w14:paraId="07355ECD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EF0C4F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ott-18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5C238F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71091D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7.440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1B7E47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6C3CAD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048B93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18.870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0F69EF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03C583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6113FE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ECE29E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62B909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055BCE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43BD20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5F59C6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A7EF6C9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3CE5A2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11.740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E6581E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51.110</w:t>
            </w:r>
          </w:p>
        </w:tc>
      </w:tr>
      <w:tr w:rsidR="00177CC9" w:rsidRPr="00177CC9" w14:paraId="0B58E429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96D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nov-18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C08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6E8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4A8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9.060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EA1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18.940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83E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15.650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8318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EB3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58F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1B6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414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ED14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D92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928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D57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BA9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ADD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57.650</w:t>
            </w:r>
          </w:p>
        </w:tc>
      </w:tr>
      <w:tr w:rsidR="00177CC9" w:rsidRPr="00177CC9" w14:paraId="15556C63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C35A97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dic-18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1B26F3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2.460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561E4C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4.780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793796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5.360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FA5DBC2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6.220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8EC6BC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0F09ED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A0B8D1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831123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D946D7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237815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66A832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F3776F7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DDBDA4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6522CC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3.920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98C138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DD6D27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39.055</w:t>
            </w:r>
          </w:p>
        </w:tc>
      </w:tr>
      <w:tr w:rsidR="00177CC9" w:rsidRPr="00177CC9" w14:paraId="6C3D538F" w14:textId="77777777" w:rsidTr="00177CC9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2BD22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000000"/>
                <w:sz w:val="14"/>
                <w:szCs w:val="14"/>
              </w:rPr>
              <w:t>TOT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2AFBB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08510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76.860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18A15A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68.160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F2DB8E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133.560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DD92C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208.680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53CA7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6.320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8BBEC1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21C56F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2.080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A01AF3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36BE36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2BE09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4.520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545CA0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721015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DFEB0B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50.480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48D0AD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22.240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7A41DC" w14:textId="77777777" w:rsidR="00177CC9" w:rsidRPr="00177CC9" w:rsidRDefault="00177CC9" w:rsidP="00177CC9">
            <w:pPr>
              <w:ind w:left="0"/>
              <w:jc w:val="center"/>
              <w:rPr>
                <w:rFonts w:ascii="Arial Narrow" w:hAnsi="Arial Narrow" w:cs="Calibri"/>
                <w:color w:val="FF0000"/>
                <w:sz w:val="14"/>
                <w:szCs w:val="14"/>
              </w:rPr>
            </w:pPr>
            <w:r w:rsidRPr="00177CC9">
              <w:rPr>
                <w:rFonts w:ascii="Arial Narrow" w:hAnsi="Arial Narrow" w:cs="Calibri"/>
                <w:color w:val="FF0000"/>
                <w:sz w:val="14"/>
                <w:szCs w:val="14"/>
              </w:rPr>
              <w:t>587.428</w:t>
            </w:r>
          </w:p>
        </w:tc>
      </w:tr>
    </w:tbl>
    <w:p w14:paraId="7A0000AE" w14:textId="77777777" w:rsidR="00A76C78" w:rsidRDefault="00A76C78" w:rsidP="00177CC9">
      <w:pPr>
        <w:ind w:left="0"/>
      </w:pPr>
    </w:p>
    <w:p w14:paraId="0E45F612" w14:textId="2CFDBB40" w:rsidR="00D71646" w:rsidRDefault="00D71646" w:rsidP="008B68C1"/>
    <w:p w14:paraId="493DAEB2" w14:textId="3FA4570C" w:rsidR="003234FC" w:rsidRDefault="003234FC" w:rsidP="00BA7ECE">
      <w:pPr>
        <w:ind w:left="0"/>
        <w:jc w:val="center"/>
      </w:pPr>
    </w:p>
    <w:p w14:paraId="483F22E9" w14:textId="6E8DCC0A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Ricavi derivanti dai corrispettivi riconosciuti dal CONAI – ARCONAI</w:t>
      </w:r>
    </w:p>
    <w:p w14:paraId="50D99757" w14:textId="77777777" w:rsidR="00BA7ECE" w:rsidRPr="000131C9" w:rsidRDefault="00BA7ECE" w:rsidP="000131C9">
      <w:pPr>
        <w:ind w:left="426"/>
        <w:rPr>
          <w:b/>
          <w:bCs/>
        </w:rPr>
      </w:pPr>
    </w:p>
    <w:p w14:paraId="552E10B4" w14:textId="1AEC0C97" w:rsidR="00FB698C" w:rsidRDefault="00FB698C" w:rsidP="00FB698C">
      <w:r>
        <w:t xml:space="preserve">I corrispettivi CONAI </w:t>
      </w:r>
      <w:r w:rsidR="00B04F80">
        <w:t xml:space="preserve">relativi alla raccolta rifiuti del comune di </w:t>
      </w:r>
      <w:r w:rsidR="00DC02BB">
        <w:t>Magliano di Tenna</w:t>
      </w:r>
      <w:r>
        <w:t xml:space="preserve"> </w:t>
      </w:r>
      <w:r w:rsidR="00B04F80">
        <w:t xml:space="preserve">sono stati estrapolati dai proventi dei bacini unitari dell’impianto di trattamento rifiuti dell’AM Consorzio Sociale di Pineto, </w:t>
      </w:r>
      <w:r w:rsidR="00603797">
        <w:t>considerando la quota parte di rifiuti prodotti ed avviati all’impianto</w:t>
      </w:r>
      <w:r w:rsidR="00B04F80">
        <w:t xml:space="preserve"> con provenienza </w:t>
      </w:r>
      <w:r w:rsidR="00DC02BB">
        <w:t>Magliano di Tenna</w:t>
      </w:r>
      <w:r w:rsidR="00B04F80">
        <w:t xml:space="preserve">. </w:t>
      </w:r>
    </w:p>
    <w:p w14:paraId="29997485" w14:textId="77777777" w:rsidR="00B04F80" w:rsidRPr="00FB698C" w:rsidRDefault="00B04F80" w:rsidP="00FB698C"/>
    <w:p w14:paraId="392B235B" w14:textId="468FBA40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spazzamento e di lavaggio – CSL</w:t>
      </w:r>
    </w:p>
    <w:p w14:paraId="4EF4F688" w14:textId="77777777" w:rsidR="00B04F80" w:rsidRPr="00707F00" w:rsidRDefault="00B04F80" w:rsidP="00B04F80">
      <w:r>
        <w:t>…</w:t>
      </w:r>
    </w:p>
    <w:p w14:paraId="2CFA0BF2" w14:textId="77777777" w:rsidR="00D71646" w:rsidRDefault="00D71646" w:rsidP="00D71646">
      <w:pPr>
        <w:ind w:left="426"/>
        <w:rPr>
          <w:b/>
          <w:bCs/>
        </w:rPr>
      </w:pPr>
      <w:r>
        <w:rPr>
          <w:b/>
          <w:bCs/>
        </w:rPr>
        <w:t>A</w:t>
      </w:r>
      <w:r w:rsidRPr="000131C9">
        <w:rPr>
          <w:b/>
          <w:bCs/>
        </w:rPr>
        <w:t xml:space="preserve">mmortamenti – </w:t>
      </w:r>
      <w:proofErr w:type="spellStart"/>
      <w:r w:rsidRPr="000131C9">
        <w:rPr>
          <w:b/>
          <w:bCs/>
        </w:rPr>
        <w:t>Amm</w:t>
      </w:r>
      <w:proofErr w:type="spellEnd"/>
    </w:p>
    <w:p w14:paraId="0FA91A5C" w14:textId="77777777" w:rsidR="00D71646" w:rsidRPr="000131C9" w:rsidRDefault="00D71646" w:rsidP="00D71646">
      <w:pPr>
        <w:ind w:left="426"/>
        <w:rPr>
          <w:b/>
          <w:bCs/>
        </w:rPr>
      </w:pPr>
    </w:p>
    <w:p w14:paraId="6564EDEC" w14:textId="3E836848" w:rsidR="00D71646" w:rsidRDefault="00D71646" w:rsidP="00D71646">
      <w:r w:rsidRPr="00FC75CF">
        <w:t xml:space="preserve">Vengono indicati gli ammortamenti per l’anno 2018. </w:t>
      </w:r>
    </w:p>
    <w:p w14:paraId="6C0860E8" w14:textId="77777777" w:rsidR="00D71646" w:rsidRPr="00707F00" w:rsidRDefault="00D71646" w:rsidP="00D71646"/>
    <w:p w14:paraId="187A8CE2" w14:textId="77777777" w:rsidR="00D71646" w:rsidRPr="000131C9" w:rsidRDefault="00D71646" w:rsidP="00D71646">
      <w:pPr>
        <w:ind w:left="426"/>
        <w:rPr>
          <w:b/>
          <w:bCs/>
        </w:rPr>
      </w:pPr>
      <w:r w:rsidRPr="000131C9">
        <w:rPr>
          <w:b/>
          <w:bCs/>
        </w:rPr>
        <w:t>Remunerazione del capitale investito netto – R</w:t>
      </w:r>
    </w:p>
    <w:p w14:paraId="307B8375" w14:textId="77777777" w:rsidR="00D71646" w:rsidRDefault="00D71646" w:rsidP="00D71646"/>
    <w:p w14:paraId="0D6EF2AD" w14:textId="5244579D" w:rsidR="00D71646" w:rsidRDefault="00D71646" w:rsidP="00D71646">
      <w:r w:rsidRPr="00FC75CF">
        <w:t xml:space="preserve">Vengono indicati </w:t>
      </w:r>
      <w:r>
        <w:t xml:space="preserve">i valori della remunerazione del capitale </w:t>
      </w:r>
      <w:r w:rsidRPr="00FC75CF">
        <w:t xml:space="preserve">per l’anno 2018. </w:t>
      </w:r>
    </w:p>
    <w:p w14:paraId="727828CC" w14:textId="77777777" w:rsidR="00D71646" w:rsidRDefault="00D71646" w:rsidP="00D71646"/>
    <w:p w14:paraId="0222C4EC" w14:textId="0AEEFB5D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 xml:space="preserve">Remunerazione delle immobilizzazioni in corso - </w:t>
      </w:r>
      <w:proofErr w:type="spellStart"/>
      <w:r w:rsidRPr="000131C9">
        <w:rPr>
          <w:b/>
          <w:bCs/>
        </w:rPr>
        <w:t>Rlic</w:t>
      </w:r>
      <w:proofErr w:type="spellEnd"/>
    </w:p>
    <w:p w14:paraId="0D2DD08A" w14:textId="228ACE30" w:rsidR="00707F00" w:rsidRPr="00707F00" w:rsidRDefault="00707F00" w:rsidP="00707F00">
      <w:r>
        <w:t>…</w:t>
      </w:r>
    </w:p>
    <w:p w14:paraId="0AE93AB9" w14:textId="4214BD50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Attività esterne Ciclo integrato RU incluse nel PEF</w:t>
      </w:r>
    </w:p>
    <w:p w14:paraId="30AF708B" w14:textId="63D4E865" w:rsidR="00707F00" w:rsidRPr="00707F00" w:rsidRDefault="00707F00" w:rsidP="00707F00">
      <w:r>
        <w:t>…</w:t>
      </w:r>
    </w:p>
    <w:p w14:paraId="307E8C66" w14:textId="374938BB" w:rsidR="0057368C" w:rsidRDefault="00F61B41" w:rsidP="000131C9">
      <w:pPr>
        <w:ind w:left="426"/>
        <w:rPr>
          <w:b/>
          <w:bCs/>
        </w:rPr>
      </w:pPr>
      <w:r w:rsidRPr="000131C9">
        <w:rPr>
          <w:b/>
          <w:bCs/>
        </w:rPr>
        <w:t xml:space="preserve">Percentuale di raccolta differenziata - </w:t>
      </w:r>
      <w:r w:rsidR="0057368C" w:rsidRPr="000131C9">
        <w:rPr>
          <w:b/>
          <w:bCs/>
        </w:rPr>
        <w:t xml:space="preserve">% </w:t>
      </w:r>
      <w:proofErr w:type="spellStart"/>
      <w:r w:rsidR="0057368C" w:rsidRPr="000131C9">
        <w:rPr>
          <w:b/>
          <w:bCs/>
        </w:rPr>
        <w:t>rd</w:t>
      </w:r>
      <w:proofErr w:type="spellEnd"/>
    </w:p>
    <w:p w14:paraId="0F122711" w14:textId="77777777" w:rsidR="00BA7ECE" w:rsidRPr="000131C9" w:rsidRDefault="00BA7ECE" w:rsidP="000131C9">
      <w:pPr>
        <w:ind w:left="426"/>
        <w:rPr>
          <w:b/>
          <w:bCs/>
        </w:rPr>
      </w:pPr>
    </w:p>
    <w:p w14:paraId="74289455" w14:textId="0390EDB6" w:rsidR="00707F00" w:rsidRDefault="00F61B41" w:rsidP="00707F00">
      <w:r>
        <w:t>La percentuale di raccolta differenziata raggiunta nell’anno 2018</w:t>
      </w:r>
      <w:r w:rsidR="00603797">
        <w:t xml:space="preserve"> </w:t>
      </w:r>
      <w:r>
        <w:t xml:space="preserve">è pari al </w:t>
      </w:r>
      <w:r w:rsidR="007E08BB">
        <w:t>75,96</w:t>
      </w:r>
      <w:r>
        <w:t>%.</w:t>
      </w:r>
    </w:p>
    <w:p w14:paraId="299567A5" w14:textId="63B5E66D" w:rsidR="007E08BB" w:rsidRDefault="007E08BB" w:rsidP="00707F00"/>
    <w:tbl>
      <w:tblPr>
        <w:tblW w:w="50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2"/>
        <w:gridCol w:w="960"/>
        <w:gridCol w:w="1159"/>
        <w:gridCol w:w="1100"/>
      </w:tblGrid>
      <w:tr w:rsidR="007E08BB" w:rsidRPr="007E08BB" w14:paraId="11C4CEA2" w14:textId="77777777" w:rsidTr="007E08BB">
        <w:trPr>
          <w:trHeight w:val="353"/>
          <w:jc w:val="center"/>
        </w:trPr>
        <w:tc>
          <w:tcPr>
            <w:tcW w:w="5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741E8C" w14:textId="26C52E26" w:rsidR="007E08BB" w:rsidRPr="007E08BB" w:rsidRDefault="007E08BB" w:rsidP="007E08BB">
            <w:pPr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COMUNE MAGLIANO DI TENNA - INDIFFERENZIATO</w:t>
            </w:r>
          </w:p>
        </w:tc>
      </w:tr>
      <w:tr w:rsidR="007E08BB" w:rsidRPr="007E08BB" w14:paraId="5C83C5D5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37D44C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MESE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D85155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INDIFF.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B50F09" w14:textId="77777777" w:rsidR="007E08BB" w:rsidRPr="007E08BB" w:rsidRDefault="007E08BB" w:rsidP="007E08BB">
            <w:pPr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TOT. RIFIUTI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0E87F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INDICE R.D.</w:t>
            </w:r>
          </w:p>
        </w:tc>
      </w:tr>
      <w:tr w:rsidR="007E08BB" w:rsidRPr="007E08BB" w14:paraId="6E2E42E3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5CD0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gen-18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68A4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15.690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FD38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65.218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5B3C89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75,94%</w:t>
            </w:r>
          </w:p>
        </w:tc>
      </w:tr>
      <w:tr w:rsidR="007E08BB" w:rsidRPr="007E08BB" w14:paraId="29F40227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E69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feb-18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0175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10.810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B90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48.590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DFEF82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77,75%</w:t>
            </w:r>
          </w:p>
        </w:tc>
      </w:tr>
      <w:tr w:rsidR="007E08BB" w:rsidRPr="007E08BB" w14:paraId="2E7FF146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674A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mar-18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4E0C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16.270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017B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77.260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6A90B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78,94%</w:t>
            </w:r>
          </w:p>
        </w:tc>
      </w:tr>
      <w:tr w:rsidR="007E08BB" w:rsidRPr="007E08BB" w14:paraId="15D9C3A2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E1F1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apr-18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E0C0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16.250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E583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50.810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DEC288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68,02%</w:t>
            </w:r>
          </w:p>
        </w:tc>
      </w:tr>
      <w:tr w:rsidR="007E08BB" w:rsidRPr="007E08BB" w14:paraId="7C2809BB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EAC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mag-18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A937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14.850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8EA8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84.000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B772F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82,32%</w:t>
            </w:r>
          </w:p>
        </w:tc>
      </w:tr>
      <w:tr w:rsidR="007E08BB" w:rsidRPr="007E08BB" w14:paraId="31589CBD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4BF6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giu-18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EE1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15.510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AEE5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60.930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C1514C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74,54%</w:t>
            </w:r>
          </w:p>
        </w:tc>
      </w:tr>
      <w:tr w:rsidR="007E08BB" w:rsidRPr="007E08BB" w14:paraId="75AE6196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C71E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lug-18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962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16.940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12BE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66.970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31C70F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74,71%</w:t>
            </w:r>
          </w:p>
        </w:tc>
      </w:tr>
      <w:tr w:rsidR="007E08BB" w:rsidRPr="007E08BB" w14:paraId="2DF85D4A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C136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ago-18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0910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14.010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797E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57.720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3C7F9B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75,73%</w:t>
            </w:r>
          </w:p>
        </w:tc>
      </w:tr>
      <w:tr w:rsidR="007E08BB" w:rsidRPr="007E08BB" w14:paraId="49CDF290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9CA7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set-18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720E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16.090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768C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64.535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B5D58A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75,07%</w:t>
            </w:r>
          </w:p>
        </w:tc>
      </w:tr>
      <w:tr w:rsidR="007E08BB" w:rsidRPr="007E08BB" w14:paraId="1BB95D71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992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ott-18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3F63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17.360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6A7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68.470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3A4015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74,65%</w:t>
            </w:r>
          </w:p>
        </w:tc>
      </w:tr>
      <w:tr w:rsidR="007E08BB" w:rsidRPr="007E08BB" w14:paraId="5471390B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7C9D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nov-18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4E3A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15.080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F3F2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72.730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B73B78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79,27%</w:t>
            </w:r>
          </w:p>
        </w:tc>
      </w:tr>
      <w:tr w:rsidR="007E08BB" w:rsidRPr="007E08BB" w14:paraId="6E3430FD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3BA8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dic-18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5BA6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color w:val="000000"/>
                <w:sz w:val="18"/>
                <w:szCs w:val="18"/>
              </w:rPr>
              <w:t>17.010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AAF3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56.065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35F63B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69,66%</w:t>
            </w:r>
          </w:p>
        </w:tc>
      </w:tr>
      <w:tr w:rsidR="007E08BB" w:rsidRPr="007E08BB" w14:paraId="0A1B1CB6" w14:textId="77777777" w:rsidTr="007E08BB">
        <w:trPr>
          <w:trHeight w:val="300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4847E7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TOTALI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FB5BA2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185.870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F73336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773.298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7484E5" w14:textId="77777777" w:rsidR="007E08BB" w:rsidRPr="007E08BB" w:rsidRDefault="007E08BB" w:rsidP="007E08BB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E08B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75,96%</w:t>
            </w:r>
          </w:p>
        </w:tc>
      </w:tr>
    </w:tbl>
    <w:p w14:paraId="5455DA5C" w14:textId="77777777" w:rsidR="007E08BB" w:rsidRDefault="007E08BB" w:rsidP="007E08BB">
      <w:pPr>
        <w:jc w:val="center"/>
      </w:pPr>
    </w:p>
    <w:p w14:paraId="20B2A71D" w14:textId="77777777" w:rsidR="00A76C78" w:rsidRDefault="00A76C78" w:rsidP="00707F00"/>
    <w:p w14:paraId="5916A5B4" w14:textId="77777777" w:rsidR="00707F00" w:rsidRPr="00707F00" w:rsidRDefault="00707F00" w:rsidP="00707F00"/>
    <w:p w14:paraId="01DCF094" w14:textId="46717571" w:rsidR="0057368C" w:rsidRDefault="00F61B41" w:rsidP="000131C9">
      <w:pPr>
        <w:ind w:left="426"/>
        <w:rPr>
          <w:b/>
          <w:bCs/>
        </w:rPr>
      </w:pPr>
      <w:r w:rsidRPr="000131C9">
        <w:rPr>
          <w:b/>
          <w:bCs/>
        </w:rPr>
        <w:t>Q</w:t>
      </w:r>
      <w:r w:rsidR="003234FC" w:rsidRPr="000131C9">
        <w:rPr>
          <w:b/>
          <w:bCs/>
        </w:rPr>
        <w:t>uantità di RU complessivamente prodotti all'anno a-2</w:t>
      </w:r>
      <w:r w:rsidRPr="000131C9">
        <w:rPr>
          <w:b/>
          <w:bCs/>
        </w:rPr>
        <w:t xml:space="preserve"> - </w:t>
      </w:r>
      <w:r w:rsidR="0057368C" w:rsidRPr="000131C9">
        <w:rPr>
          <w:b/>
          <w:bCs/>
        </w:rPr>
        <w:t>qa-2</w:t>
      </w:r>
    </w:p>
    <w:p w14:paraId="09B347B8" w14:textId="77777777" w:rsidR="00BA7ECE" w:rsidRPr="000131C9" w:rsidRDefault="00BA7ECE" w:rsidP="000131C9">
      <w:pPr>
        <w:ind w:left="426"/>
        <w:rPr>
          <w:b/>
          <w:bCs/>
        </w:rPr>
      </w:pPr>
    </w:p>
    <w:p w14:paraId="79BD4B40" w14:textId="441B28BC" w:rsidR="0057368C" w:rsidRPr="0057368C" w:rsidRDefault="00F61B41" w:rsidP="0057368C">
      <w:r>
        <w:lastRenderedPageBreak/>
        <w:t>La quantità di rifiuti urbani complessivamente raccolti nel periodo di riferimento (</w:t>
      </w:r>
      <w:r w:rsidR="008009D7">
        <w:t>anno 2018</w:t>
      </w:r>
      <w:r>
        <w:t xml:space="preserve">) è pari a </w:t>
      </w:r>
      <w:r w:rsidR="007E08BB">
        <w:t>773</w:t>
      </w:r>
      <w:r>
        <w:t xml:space="preserve"> tonnellate.</w:t>
      </w:r>
    </w:p>
    <w:p w14:paraId="571805A4" w14:textId="77777777" w:rsidR="00305479" w:rsidRPr="00773DFA" w:rsidRDefault="00305479" w:rsidP="007530C0"/>
    <w:p w14:paraId="4F9D4E27" w14:textId="77777777" w:rsidR="005316ED" w:rsidRPr="00773DFA" w:rsidRDefault="00A94BD8" w:rsidP="007530C0">
      <w:pPr>
        <w:pStyle w:val="Titolo2"/>
      </w:pPr>
      <w:bookmarkStart w:id="14" w:name="_Toc41318244"/>
      <w:r w:rsidRPr="00773DFA">
        <w:t>Dati tecnici e patrimoniali</w:t>
      </w:r>
      <w:bookmarkEnd w:id="14"/>
    </w:p>
    <w:p w14:paraId="60CC0562" w14:textId="77777777" w:rsidR="00A94BD8" w:rsidRPr="00773DFA" w:rsidRDefault="00A94BD8" w:rsidP="007530C0">
      <w:pPr>
        <w:pStyle w:val="Titolo3"/>
      </w:pPr>
      <w:bookmarkStart w:id="15" w:name="_Toc23417913"/>
      <w:bookmarkStart w:id="16" w:name="_Toc23418030"/>
      <w:bookmarkStart w:id="17" w:name="_Toc23418156"/>
      <w:bookmarkStart w:id="18" w:name="_Toc41318245"/>
      <w:bookmarkEnd w:id="15"/>
      <w:bookmarkEnd w:id="16"/>
      <w:bookmarkEnd w:id="17"/>
      <w:r w:rsidRPr="00773DFA">
        <w:t>Dati su</w:t>
      </w:r>
      <w:r w:rsidR="00131398" w:rsidRPr="00773DFA">
        <w:t>l</w:t>
      </w:r>
      <w:r w:rsidRPr="00773DFA">
        <w:t xml:space="preserve"> territorio gestito e</w:t>
      </w:r>
      <w:r w:rsidR="00131398" w:rsidRPr="00773DFA">
        <w:t xml:space="preserve"> sull’</w:t>
      </w:r>
      <w:r w:rsidRPr="00773DFA">
        <w:t>affidamento</w:t>
      </w:r>
      <w:bookmarkEnd w:id="18"/>
    </w:p>
    <w:p w14:paraId="0DF76AEE" w14:textId="09841FCB" w:rsidR="00F71EFD" w:rsidRDefault="007530C0" w:rsidP="007530C0">
      <w:pPr>
        <w:pStyle w:val="Titolo4"/>
      </w:pPr>
      <w:bookmarkStart w:id="19" w:name="_Toc41318246"/>
      <w:r>
        <w:t>E</w:t>
      </w:r>
      <w:r w:rsidR="00AB0B2C" w:rsidRPr="00773DFA">
        <w:t xml:space="preserve">ventuali </w:t>
      </w:r>
      <w:r w:rsidR="00CC09E4" w:rsidRPr="00773DFA">
        <w:t>v</w:t>
      </w:r>
      <w:r w:rsidR="00F71EFD" w:rsidRPr="00773DFA">
        <w:t xml:space="preserve">ariazioni </w:t>
      </w:r>
      <w:r w:rsidR="00CC09E4" w:rsidRPr="00773DFA">
        <w:t xml:space="preserve">attese </w:t>
      </w:r>
      <w:r w:rsidR="00F71EFD" w:rsidRPr="00773DFA">
        <w:t>di perimetro</w:t>
      </w:r>
      <w:r w:rsidR="00026264" w:rsidRPr="00773DFA">
        <w:t xml:space="preserve"> (PG</w:t>
      </w:r>
      <w:r>
        <w:t>)</w:t>
      </w:r>
      <w:bookmarkEnd w:id="19"/>
    </w:p>
    <w:p w14:paraId="2CC470D6" w14:textId="0641CFAE" w:rsidR="007530C0" w:rsidRPr="00773DFA" w:rsidRDefault="00252C0F" w:rsidP="007530C0">
      <w:r>
        <w:t>...</w:t>
      </w:r>
    </w:p>
    <w:p w14:paraId="67CDD645" w14:textId="052B7BE8" w:rsidR="004D6DFC" w:rsidRDefault="007530C0" w:rsidP="007530C0">
      <w:pPr>
        <w:pStyle w:val="Titolo4"/>
      </w:pPr>
      <w:bookmarkStart w:id="20" w:name="_Toc41318247"/>
      <w:r>
        <w:t>S</w:t>
      </w:r>
      <w:r w:rsidR="004D6DFC" w:rsidRPr="00773DFA">
        <w:t>celte adottate/previste in ordine alle variazioni nel perimetro</w:t>
      </w:r>
      <w:bookmarkEnd w:id="20"/>
    </w:p>
    <w:p w14:paraId="703D1F56" w14:textId="2770A585" w:rsidR="007530C0" w:rsidRPr="00773DFA" w:rsidRDefault="00252C0F" w:rsidP="007530C0">
      <w:r>
        <w:t>...</w:t>
      </w:r>
    </w:p>
    <w:p w14:paraId="5EA1FC8A" w14:textId="77777777" w:rsidR="0026283A" w:rsidRPr="00773DFA" w:rsidRDefault="009A2F02" w:rsidP="007530C0">
      <w:r w:rsidRPr="00773DFA">
        <w:t xml:space="preserve"> </w:t>
      </w:r>
    </w:p>
    <w:p w14:paraId="0762346B" w14:textId="77777777" w:rsidR="00C33520" w:rsidRPr="00773DFA" w:rsidRDefault="00A94BD8" w:rsidP="007530C0">
      <w:pPr>
        <w:pStyle w:val="Titolo3"/>
      </w:pPr>
      <w:bookmarkStart w:id="21" w:name="_Toc41318248"/>
      <w:r w:rsidRPr="00773DFA">
        <w:t>Dati tecnici</w:t>
      </w:r>
      <w:r w:rsidR="002B703E" w:rsidRPr="00773DFA">
        <w:t xml:space="preserve"> e di qualità</w:t>
      </w:r>
      <w:bookmarkStart w:id="22" w:name="_Hlk22049505"/>
      <w:bookmarkEnd w:id="21"/>
    </w:p>
    <w:p w14:paraId="5D81B121" w14:textId="569E3806" w:rsidR="00A90C24" w:rsidRDefault="005A21E7" w:rsidP="007530C0">
      <w:pPr>
        <w:pStyle w:val="Titolo4"/>
      </w:pPr>
      <w:bookmarkStart w:id="23" w:name="_Toc41318249"/>
      <w:r>
        <w:t>V</w:t>
      </w:r>
      <w:r w:rsidR="00A90C24" w:rsidRPr="00773DFA">
        <w:t xml:space="preserve">ariazioni attese delle caratteristiche del servizio </w:t>
      </w:r>
      <w:r w:rsidR="00026264" w:rsidRPr="00773DFA">
        <w:t>(QL)</w:t>
      </w:r>
      <w:bookmarkEnd w:id="23"/>
    </w:p>
    <w:p w14:paraId="0ED82F8D" w14:textId="0DFCBB94" w:rsidR="005A21E7" w:rsidRPr="00773DFA" w:rsidRDefault="00252C0F" w:rsidP="007530C0">
      <w:r>
        <w:t>...</w:t>
      </w:r>
    </w:p>
    <w:p w14:paraId="53752B09" w14:textId="4E53FB78" w:rsidR="00A90C24" w:rsidRDefault="005A21E7" w:rsidP="007530C0">
      <w:pPr>
        <w:pStyle w:val="Titolo4"/>
      </w:pPr>
      <w:bookmarkStart w:id="24" w:name="_Toc41318250"/>
      <w:r>
        <w:t>D</w:t>
      </w:r>
      <w:r w:rsidR="00A90C24" w:rsidRPr="00773DFA">
        <w:t>escri</w:t>
      </w:r>
      <w:r>
        <w:t>zione</w:t>
      </w:r>
      <w:r w:rsidR="00A90C24" w:rsidRPr="00773DFA">
        <w:t xml:space="preserve"> e motiva</w:t>
      </w:r>
      <w:r>
        <w:t>zione</w:t>
      </w:r>
      <w:r w:rsidR="00A90C24" w:rsidRPr="00773DFA">
        <w:t xml:space="preserve"> scelte adottate/previste in ordine alle variazioni nelle caratteristiche del servizio che si rendono necessarie nella propria realtà territoriale</w:t>
      </w:r>
      <w:bookmarkEnd w:id="24"/>
    </w:p>
    <w:p w14:paraId="06E2FB5F" w14:textId="3DEFE64E" w:rsidR="005A21E7" w:rsidRPr="00773DFA" w:rsidRDefault="00252C0F" w:rsidP="007530C0">
      <w:r>
        <w:t>...</w:t>
      </w:r>
    </w:p>
    <w:p w14:paraId="5100CF43" w14:textId="0EF18E96" w:rsidR="00C33520" w:rsidRPr="007530C0" w:rsidRDefault="005A21E7" w:rsidP="007530C0">
      <w:pPr>
        <w:pStyle w:val="Titolo4"/>
      </w:pPr>
      <w:bookmarkStart w:id="25" w:name="_Toc41318251"/>
      <w:r>
        <w:t>O</w:t>
      </w:r>
      <w:r w:rsidR="00755CDE" w:rsidRPr="00773DFA">
        <w:t xml:space="preserve">biettivo relativo alla percentuale di </w:t>
      </w:r>
      <w:r w:rsidR="00C33520" w:rsidRPr="00773DFA">
        <w:t xml:space="preserve">raccolta differenziata </w:t>
      </w:r>
      <w:r w:rsidR="00755CDE" w:rsidRPr="00773DFA">
        <w:t xml:space="preserve">da conseguire in ciascun comune/affidamento per ciascun anno e il livello effettivamente conseguito </w:t>
      </w:r>
      <w:r w:rsidR="000A4113" w:rsidRPr="00773DFA">
        <w:t>nel</w:t>
      </w:r>
      <w:r w:rsidR="00755CDE" w:rsidRPr="00773DFA">
        <w:t>l’anno a</w:t>
      </w:r>
      <w:r w:rsidR="00252C0F">
        <w:t>-</w:t>
      </w:r>
      <w:r w:rsidR="00755CDE" w:rsidRPr="00773DFA">
        <w:t>1</w:t>
      </w:r>
      <w:r w:rsidR="00986AB1" w:rsidRPr="00773DFA">
        <w:t xml:space="preserve"> e a</w:t>
      </w:r>
      <w:r w:rsidR="00252C0F">
        <w:t>-</w:t>
      </w:r>
      <w:r w:rsidR="00986AB1" w:rsidRPr="00773DFA">
        <w:t>2</w:t>
      </w:r>
      <w:bookmarkEnd w:id="25"/>
    </w:p>
    <w:p w14:paraId="207E213C" w14:textId="59F94EF6" w:rsidR="005A21E7" w:rsidRDefault="00252C0F" w:rsidP="007530C0">
      <w:r>
        <w:t>...</w:t>
      </w:r>
    </w:p>
    <w:p w14:paraId="271C12C3" w14:textId="6074D465" w:rsidR="00755CDE" w:rsidRDefault="005A21E7" w:rsidP="007530C0">
      <w:pPr>
        <w:pStyle w:val="Titolo4"/>
      </w:pPr>
      <w:bookmarkStart w:id="26" w:name="_Toc41318252"/>
      <w:r>
        <w:t>E</w:t>
      </w:r>
      <w:r w:rsidR="00755CDE" w:rsidRPr="00773DFA">
        <w:t>ventuali risultanze di indagini di soddisfazione degli utenti</w:t>
      </w:r>
      <w:bookmarkEnd w:id="26"/>
    </w:p>
    <w:p w14:paraId="7D050FD0" w14:textId="42C7DA3F" w:rsidR="005A21E7" w:rsidRPr="00773DFA" w:rsidRDefault="00252C0F" w:rsidP="007530C0">
      <w:r>
        <w:t>...</w:t>
      </w:r>
    </w:p>
    <w:p w14:paraId="7B087902" w14:textId="1DBAC181" w:rsidR="00755CDE" w:rsidRDefault="005A21E7" w:rsidP="007530C0">
      <w:pPr>
        <w:pStyle w:val="Titolo4"/>
      </w:pPr>
      <w:bookmarkStart w:id="27" w:name="_Toc41318253"/>
      <w:r>
        <w:t>E</w:t>
      </w:r>
      <w:r w:rsidR="00986AB1" w:rsidRPr="00773DFA">
        <w:t xml:space="preserve">fficacia delle </w:t>
      </w:r>
      <w:r w:rsidR="00755CDE" w:rsidRPr="00773DFA">
        <w:t>attività di preparazione per il riutilizzo e il riciclo</w:t>
      </w:r>
      <w:bookmarkEnd w:id="27"/>
    </w:p>
    <w:p w14:paraId="209E275D" w14:textId="4829F51F" w:rsidR="005A21E7" w:rsidRPr="00773DFA" w:rsidRDefault="00FB58DE" w:rsidP="007530C0">
      <w:r>
        <w:t>Non è stato possibile valutare l’efficacia dell’attività di preparazione per il riutilizzo ed il r</w:t>
      </w:r>
      <w:r w:rsidR="000131C9">
        <w:t>i</w:t>
      </w:r>
      <w:r>
        <w:t>ciclo</w:t>
      </w:r>
      <w:r w:rsidR="000131C9">
        <w:t xml:space="preserve">, </w:t>
      </w:r>
      <w:r w:rsidR="001A4E9E">
        <w:t>né</w:t>
      </w:r>
      <w:r w:rsidR="00695C6D">
        <w:t xml:space="preserve"> fornire valori di indicatori in quanto le raccolte differenziate provenienti dal Comune sono gestite congiunt</w:t>
      </w:r>
      <w:r w:rsidR="001A4E9E">
        <w:t>a</w:t>
      </w:r>
      <w:r w:rsidR="00695C6D">
        <w:t>mente ad altre raccolte provenienti da altri Comuni.</w:t>
      </w:r>
      <w:r w:rsidR="001A4E9E">
        <w:t xml:space="preserve"> Con una valutazione non quantitativa si può affermare il buon risultato raggiunto dalla qualità delle raccolte differenziate anche a seguito di campagne di controllo e segnalazione sui rifiuti esposti dai singoli utenti.</w:t>
      </w:r>
    </w:p>
    <w:bookmarkEnd w:id="22"/>
    <w:p w14:paraId="0F174E72" w14:textId="77777777" w:rsidR="005E506A" w:rsidRPr="00DC02BB" w:rsidRDefault="005E506A" w:rsidP="007530C0">
      <w:pPr>
        <w:pStyle w:val="Corpotesto"/>
        <w:rPr>
          <w:lang w:val="it-IT"/>
        </w:rPr>
      </w:pPr>
    </w:p>
    <w:p w14:paraId="0C2923B0" w14:textId="77777777" w:rsidR="00FF6A01" w:rsidRPr="00773DFA" w:rsidRDefault="00FC3013" w:rsidP="007530C0">
      <w:pPr>
        <w:pStyle w:val="Titolo3"/>
      </w:pPr>
      <w:bookmarkStart w:id="28" w:name="_Toc41318254"/>
      <w:r w:rsidRPr="00773DFA">
        <w:t>Fonti di finanziamento</w:t>
      </w:r>
      <w:bookmarkEnd w:id="28"/>
    </w:p>
    <w:p w14:paraId="214ADA3A" w14:textId="34E76C4E" w:rsidR="00DE398B" w:rsidRPr="00773DFA" w:rsidRDefault="005A21E7" w:rsidP="007530C0">
      <w:pPr>
        <w:pStyle w:val="Titolo4"/>
      </w:pPr>
      <w:bookmarkStart w:id="29" w:name="_Toc41318255"/>
      <w:r>
        <w:t xml:space="preserve">Dettaglio </w:t>
      </w:r>
      <w:r w:rsidR="004E790D" w:rsidRPr="00773DFA">
        <w:t>de</w:t>
      </w:r>
      <w:r w:rsidR="00DE398B" w:rsidRPr="00773DFA">
        <w:t>lle fonti di finanziamento</w:t>
      </w:r>
      <w:bookmarkEnd w:id="29"/>
    </w:p>
    <w:p w14:paraId="4FA29AE4" w14:textId="4EA01A5C" w:rsidR="00FF6A01" w:rsidRDefault="000131C9" w:rsidP="007530C0">
      <w:pPr>
        <w:rPr>
          <w:lang w:eastAsia="en-GB"/>
        </w:rPr>
      </w:pPr>
      <w:r>
        <w:rPr>
          <w:lang w:eastAsia="en-GB"/>
        </w:rPr>
        <w:t>…</w:t>
      </w:r>
    </w:p>
    <w:p w14:paraId="6F2019D4" w14:textId="77777777" w:rsidR="000131C9" w:rsidRPr="00773DFA" w:rsidRDefault="000131C9" w:rsidP="007530C0">
      <w:pPr>
        <w:rPr>
          <w:lang w:eastAsia="en-GB"/>
        </w:rPr>
      </w:pPr>
    </w:p>
    <w:p w14:paraId="4694568C" w14:textId="1BABA951" w:rsidR="00033386" w:rsidRPr="00773DFA" w:rsidRDefault="00C01382" w:rsidP="00DD1FD1">
      <w:pPr>
        <w:pStyle w:val="Titolo2"/>
      </w:pPr>
      <w:bookmarkStart w:id="30" w:name="_Toc41318256"/>
      <w:r w:rsidRPr="00773DFA">
        <w:t xml:space="preserve">Dati </w:t>
      </w:r>
      <w:r w:rsidR="00EF2D6E" w:rsidRPr="00773DFA">
        <w:t xml:space="preserve">per la determinazione delle </w:t>
      </w:r>
      <w:r w:rsidR="000A4113" w:rsidRPr="00773DFA">
        <w:t>e</w:t>
      </w:r>
      <w:r w:rsidR="00EF2D6E" w:rsidRPr="00773DFA">
        <w:t>ntrate di riferimento</w:t>
      </w:r>
      <w:bookmarkEnd w:id="30"/>
    </w:p>
    <w:p w14:paraId="43C90CEE" w14:textId="77777777" w:rsidR="001A2E02" w:rsidRPr="00773DFA" w:rsidRDefault="001A2E02" w:rsidP="007530C0">
      <w:pPr>
        <w:pStyle w:val="Titolo3"/>
      </w:pPr>
      <w:bookmarkStart w:id="31" w:name="_Toc41318257"/>
      <w:r w:rsidRPr="00773DFA">
        <w:t>Dati di conto economico</w:t>
      </w:r>
      <w:bookmarkEnd w:id="31"/>
    </w:p>
    <w:p w14:paraId="48E188D6" w14:textId="1D4B62AF" w:rsidR="00B96095" w:rsidRDefault="005A21E7" w:rsidP="007530C0">
      <w:pPr>
        <w:pStyle w:val="Titolo4"/>
      </w:pPr>
      <w:bookmarkStart w:id="32" w:name="_Toc41318258"/>
      <w:r>
        <w:t>C</w:t>
      </w:r>
      <w:r w:rsidR="00B96095" w:rsidRPr="00773DFA">
        <w:t xml:space="preserve">riterio </w:t>
      </w:r>
      <w:r w:rsidR="004F6CFF" w:rsidRPr="00773DFA">
        <w:t xml:space="preserve">e i </w:t>
      </w:r>
      <w:r w:rsidR="004F6CFF" w:rsidRPr="005A21E7">
        <w:t>driver</w:t>
      </w:r>
      <w:r w:rsidR="004F6CFF" w:rsidRPr="00773DFA">
        <w:t xml:space="preserve"> </w:t>
      </w:r>
      <w:r w:rsidR="00B96095" w:rsidRPr="00773DFA">
        <w:t>con il quale sono state ripartite le poste comuni</w:t>
      </w:r>
      <w:r w:rsidR="00231194" w:rsidRPr="00773DFA">
        <w:t xml:space="preserve"> (costi e ricavi)</w:t>
      </w:r>
      <w:bookmarkEnd w:id="32"/>
    </w:p>
    <w:p w14:paraId="701586AC" w14:textId="23137621" w:rsidR="005A21E7" w:rsidRPr="00773DFA" w:rsidRDefault="00252C0F" w:rsidP="007530C0">
      <w:r>
        <w:t>...</w:t>
      </w:r>
    </w:p>
    <w:p w14:paraId="0F4B517D" w14:textId="335755B6" w:rsidR="006B5E15" w:rsidRDefault="005A21E7" w:rsidP="007530C0">
      <w:pPr>
        <w:pStyle w:val="Titolo4"/>
      </w:pPr>
      <w:bookmarkStart w:id="33" w:name="_Toc41318259"/>
      <w:r>
        <w:t>D</w:t>
      </w:r>
      <w:r w:rsidR="00DC282F" w:rsidRPr="00773DFA">
        <w:t>ettaglio dei costi legati alle campagne ambientali e ad eventuali misure di prevenzione</w:t>
      </w:r>
      <w:bookmarkEnd w:id="33"/>
    </w:p>
    <w:p w14:paraId="3880005C" w14:textId="05F489A9" w:rsidR="005A21E7" w:rsidRPr="00773DFA" w:rsidRDefault="00252C0F" w:rsidP="007530C0">
      <w:r>
        <w:t>...</w:t>
      </w:r>
    </w:p>
    <w:p w14:paraId="2A2598ED" w14:textId="577174CF" w:rsidR="00AA1BDF" w:rsidRDefault="005A21E7" w:rsidP="007530C0">
      <w:pPr>
        <w:pStyle w:val="Titolo4"/>
      </w:pPr>
      <w:bookmarkStart w:id="34" w:name="_Toc41318260"/>
      <w:r>
        <w:lastRenderedPageBreak/>
        <w:t>D</w:t>
      </w:r>
      <w:r w:rsidR="00BC0287" w:rsidRPr="00773DFA">
        <w:t>ettaglio</w:t>
      </w:r>
      <w:r w:rsidR="00FB58DE">
        <w:t xml:space="preserve"> </w:t>
      </w:r>
      <w:proofErr w:type="spellStart"/>
      <w:r w:rsidR="00FB58DE">
        <w:t>CO</w:t>
      </w:r>
      <w:r w:rsidR="00FB58DE">
        <w:rPr>
          <w:vertAlign w:val="subscript"/>
        </w:rPr>
        <w:t>AL,a</w:t>
      </w:r>
      <w:proofErr w:type="spellEnd"/>
      <w:r w:rsidR="00FB0F8F" w:rsidRPr="00773DFA">
        <w:t xml:space="preserve"> oneri di funzionamento degli Enti territorialmente competenti, di ARERA, nonché gli oneri locali</w:t>
      </w:r>
      <w:bookmarkEnd w:id="34"/>
    </w:p>
    <w:p w14:paraId="1CF926C4" w14:textId="07AB56D9" w:rsidR="005A21E7" w:rsidRDefault="00252C0F" w:rsidP="007530C0">
      <w:r>
        <w:t>...</w:t>
      </w:r>
    </w:p>
    <w:p w14:paraId="13BD2EF0" w14:textId="77777777" w:rsidR="005A21E7" w:rsidRPr="00773DFA" w:rsidRDefault="005A21E7" w:rsidP="007530C0"/>
    <w:p w14:paraId="7F687FD4" w14:textId="77777777" w:rsidR="00CF3168" w:rsidRPr="00773DFA" w:rsidRDefault="00CF3168" w:rsidP="007530C0">
      <w:pPr>
        <w:pStyle w:val="Titolo3"/>
      </w:pPr>
      <w:bookmarkStart w:id="35" w:name="_Toc41318261"/>
      <w:r w:rsidRPr="00773DFA">
        <w:t>Focus su</w:t>
      </w:r>
      <w:r w:rsidR="006C2EA8" w:rsidRPr="00773DFA">
        <w:t>i ricavi derivanti da vendita di materiali e/o energia</w:t>
      </w:r>
      <w:bookmarkEnd w:id="35"/>
      <w:r w:rsidR="006C2EA8" w:rsidRPr="00773DFA">
        <w:t xml:space="preserve"> </w:t>
      </w:r>
    </w:p>
    <w:p w14:paraId="3E664990" w14:textId="77777777" w:rsidR="005A21E7" w:rsidRDefault="005A21E7" w:rsidP="007530C0">
      <w:pPr>
        <w:pStyle w:val="Titolo4"/>
      </w:pPr>
      <w:bookmarkStart w:id="36" w:name="_Toc41318262"/>
      <w:r>
        <w:t>V</w:t>
      </w:r>
      <w:r w:rsidR="00DB46B1" w:rsidRPr="00773DFA">
        <w:t>oci di ricavo</w:t>
      </w:r>
      <w:bookmarkEnd w:id="36"/>
    </w:p>
    <w:p w14:paraId="66FCF002" w14:textId="5769EA95" w:rsidR="00AA1BDF" w:rsidRPr="00773DFA" w:rsidRDefault="00BA7ECE" w:rsidP="00BA7ECE">
      <w:pPr>
        <w:rPr>
          <w:lang w:eastAsia="en-GB"/>
        </w:rPr>
      </w:pPr>
      <w:r>
        <w:t>Non risultano voci di ricavo dalla vendita dei rifiuti.</w:t>
      </w:r>
    </w:p>
    <w:p w14:paraId="109070A5" w14:textId="77777777" w:rsidR="002311C4" w:rsidRPr="00773DFA" w:rsidRDefault="002311C4" w:rsidP="007530C0">
      <w:pPr>
        <w:rPr>
          <w:lang w:eastAsia="en-GB"/>
        </w:rPr>
      </w:pPr>
    </w:p>
    <w:p w14:paraId="103E1D58" w14:textId="77777777" w:rsidR="001A2E02" w:rsidRPr="00773DFA" w:rsidRDefault="001A2E02" w:rsidP="007530C0">
      <w:pPr>
        <w:pStyle w:val="Titolo3"/>
      </w:pPr>
      <w:bookmarkStart w:id="37" w:name="_Toc23417920"/>
      <w:bookmarkStart w:id="38" w:name="_Toc23418037"/>
      <w:bookmarkStart w:id="39" w:name="_Toc23418163"/>
      <w:bookmarkStart w:id="40" w:name="_Toc23417921"/>
      <w:bookmarkStart w:id="41" w:name="_Toc23418038"/>
      <w:bookmarkStart w:id="42" w:name="_Toc23418164"/>
      <w:bookmarkStart w:id="43" w:name="_Toc41318263"/>
      <w:bookmarkEnd w:id="37"/>
      <w:bookmarkEnd w:id="38"/>
      <w:bookmarkEnd w:id="39"/>
      <w:bookmarkEnd w:id="40"/>
      <w:bookmarkEnd w:id="41"/>
      <w:bookmarkEnd w:id="42"/>
      <w:r w:rsidRPr="00773DFA">
        <w:t xml:space="preserve">Dati relativi </w:t>
      </w:r>
      <w:r w:rsidR="000767C1" w:rsidRPr="00773DFA">
        <w:t>a</w:t>
      </w:r>
      <w:r w:rsidR="00E32F1E" w:rsidRPr="00773DFA">
        <w:t>i costi di capitale</w:t>
      </w:r>
      <w:bookmarkEnd w:id="43"/>
    </w:p>
    <w:p w14:paraId="39F883AC" w14:textId="3217ED7E" w:rsidR="00EB6497" w:rsidRPr="007530C0" w:rsidRDefault="001B0428" w:rsidP="007530C0">
      <w:pPr>
        <w:pStyle w:val="Titolo4"/>
      </w:pPr>
      <w:bookmarkStart w:id="44" w:name="_Toc41318264"/>
      <w:r>
        <w:t>C</w:t>
      </w:r>
      <w:r w:rsidR="00EB6497" w:rsidRPr="00773DFA">
        <w:t xml:space="preserve">espiti afferenti all'area dei costi comuni e generali, </w:t>
      </w:r>
      <w:r>
        <w:t>descrizione</w:t>
      </w:r>
      <w:r w:rsidR="00EB6497" w:rsidRPr="00773DFA">
        <w:t xml:space="preserve"> driver</w:t>
      </w:r>
      <w:r w:rsidRPr="007530C0">
        <w:t xml:space="preserve"> di ripartizione</w:t>
      </w:r>
      <w:bookmarkEnd w:id="44"/>
    </w:p>
    <w:p w14:paraId="5AFEC4E0" w14:textId="447C941A" w:rsidR="001B0428" w:rsidRPr="00773DFA" w:rsidRDefault="00252C0F" w:rsidP="007530C0">
      <w:pPr>
        <w:rPr>
          <w:lang w:eastAsia="en-GB"/>
        </w:rPr>
      </w:pPr>
      <w:r>
        <w:rPr>
          <w:lang w:eastAsia="en-GB"/>
        </w:rPr>
        <w:t>...</w:t>
      </w:r>
    </w:p>
    <w:p w14:paraId="0DE03B00" w14:textId="0CCA6A61" w:rsidR="00824EF7" w:rsidRDefault="001B0428" w:rsidP="007530C0">
      <w:pPr>
        <w:pStyle w:val="Titolo4"/>
      </w:pPr>
      <w:bookmarkStart w:id="45" w:name="_Toc41318265"/>
      <w:r>
        <w:t>S</w:t>
      </w:r>
      <w:r w:rsidR="00824EF7" w:rsidRPr="00773DFA">
        <w:t>time in merito all’esaurimento delle discariche</w:t>
      </w:r>
      <w:bookmarkEnd w:id="45"/>
    </w:p>
    <w:p w14:paraId="4C5FC682" w14:textId="1733DDDA" w:rsidR="001B0428" w:rsidRPr="00773DFA" w:rsidRDefault="00252C0F" w:rsidP="007530C0">
      <w:pPr>
        <w:rPr>
          <w:lang w:eastAsia="en-GB"/>
        </w:rPr>
      </w:pPr>
      <w:r>
        <w:rPr>
          <w:lang w:eastAsia="en-GB"/>
        </w:rPr>
        <w:t>...</w:t>
      </w:r>
    </w:p>
    <w:sectPr w:rsidR="001B0428" w:rsidRPr="00773DFA" w:rsidSect="00BA7ECE">
      <w:footerReference w:type="even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CB7D0" w14:textId="77777777" w:rsidR="00DC02BB" w:rsidRDefault="00DC02BB" w:rsidP="007530C0">
      <w:r>
        <w:separator/>
      </w:r>
    </w:p>
  </w:endnote>
  <w:endnote w:type="continuationSeparator" w:id="0">
    <w:p w14:paraId="17E4BCE6" w14:textId="77777777" w:rsidR="00DC02BB" w:rsidRDefault="00DC02BB" w:rsidP="0075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1DA04" w14:textId="77777777" w:rsidR="00DC02BB" w:rsidRDefault="00DC02BB" w:rsidP="007530C0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7C5B374" w14:textId="77777777" w:rsidR="00DC02BB" w:rsidRDefault="00DC02BB" w:rsidP="007530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CE118" w14:textId="77777777" w:rsidR="00DC02BB" w:rsidRDefault="00DC02BB" w:rsidP="007530C0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Pr="003D1A8F">
      <w:rPr>
        <w:noProof/>
        <w:lang w:val="it-IT"/>
      </w:rPr>
      <w:t>6</w:t>
    </w:r>
    <w:r>
      <w:fldChar w:fldCharType="end"/>
    </w:r>
  </w:p>
  <w:p w14:paraId="76544463" w14:textId="77777777" w:rsidR="00DC02BB" w:rsidRDefault="00DC02BB" w:rsidP="00753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619CB" w14:textId="77777777" w:rsidR="00DC02BB" w:rsidRDefault="00DC02BB" w:rsidP="007530C0">
      <w:r>
        <w:separator/>
      </w:r>
    </w:p>
  </w:footnote>
  <w:footnote w:type="continuationSeparator" w:id="0">
    <w:p w14:paraId="348C63BA" w14:textId="77777777" w:rsidR="00DC02BB" w:rsidRDefault="00DC02BB" w:rsidP="0075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91BAA"/>
    <w:multiLevelType w:val="multilevel"/>
    <w:tmpl w:val="74B0FF4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5E7A3B"/>
    <w:multiLevelType w:val="hybridMultilevel"/>
    <w:tmpl w:val="05001F90"/>
    <w:lvl w:ilvl="0" w:tplc="EB885E2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81"/>
    <w:rsid w:val="00001870"/>
    <w:rsid w:val="000061DE"/>
    <w:rsid w:val="000131C9"/>
    <w:rsid w:val="00021F42"/>
    <w:rsid w:val="00026264"/>
    <w:rsid w:val="00033386"/>
    <w:rsid w:val="00040587"/>
    <w:rsid w:val="0004185F"/>
    <w:rsid w:val="000452C0"/>
    <w:rsid w:val="000543FF"/>
    <w:rsid w:val="0005675A"/>
    <w:rsid w:val="00070AEF"/>
    <w:rsid w:val="000725C5"/>
    <w:rsid w:val="000759EF"/>
    <w:rsid w:val="00076547"/>
    <w:rsid w:val="000767C1"/>
    <w:rsid w:val="000853C7"/>
    <w:rsid w:val="00090F95"/>
    <w:rsid w:val="000A4113"/>
    <w:rsid w:val="000B7281"/>
    <w:rsid w:val="000D1EA9"/>
    <w:rsid w:val="000F1EED"/>
    <w:rsid w:val="000F5A01"/>
    <w:rsid w:val="00120500"/>
    <w:rsid w:val="00131398"/>
    <w:rsid w:val="00131C05"/>
    <w:rsid w:val="00136456"/>
    <w:rsid w:val="001423C5"/>
    <w:rsid w:val="0014582D"/>
    <w:rsid w:val="001539C8"/>
    <w:rsid w:val="00170B72"/>
    <w:rsid w:val="00177CC9"/>
    <w:rsid w:val="00177E5F"/>
    <w:rsid w:val="00191492"/>
    <w:rsid w:val="00191716"/>
    <w:rsid w:val="001A1508"/>
    <w:rsid w:val="001A2E02"/>
    <w:rsid w:val="001A4E9E"/>
    <w:rsid w:val="001A6658"/>
    <w:rsid w:val="001B0428"/>
    <w:rsid w:val="001C58C7"/>
    <w:rsid w:val="001D0993"/>
    <w:rsid w:val="00203904"/>
    <w:rsid w:val="00210755"/>
    <w:rsid w:val="00224082"/>
    <w:rsid w:val="002262E7"/>
    <w:rsid w:val="002264FD"/>
    <w:rsid w:val="00231194"/>
    <w:rsid w:val="002311C4"/>
    <w:rsid w:val="00233E44"/>
    <w:rsid w:val="002350B7"/>
    <w:rsid w:val="00252C0F"/>
    <w:rsid w:val="00257ECD"/>
    <w:rsid w:val="0026283A"/>
    <w:rsid w:val="00265513"/>
    <w:rsid w:val="00280796"/>
    <w:rsid w:val="00285DFC"/>
    <w:rsid w:val="002B703E"/>
    <w:rsid w:val="002B7F53"/>
    <w:rsid w:val="002C206A"/>
    <w:rsid w:val="002D2FC5"/>
    <w:rsid w:val="002D332F"/>
    <w:rsid w:val="002D455F"/>
    <w:rsid w:val="002E513A"/>
    <w:rsid w:val="002F063E"/>
    <w:rsid w:val="002F435B"/>
    <w:rsid w:val="002F5AA0"/>
    <w:rsid w:val="00305479"/>
    <w:rsid w:val="00306025"/>
    <w:rsid w:val="0031673A"/>
    <w:rsid w:val="00322EBB"/>
    <w:rsid w:val="003234FC"/>
    <w:rsid w:val="00336035"/>
    <w:rsid w:val="0034191C"/>
    <w:rsid w:val="003540AD"/>
    <w:rsid w:val="00356C90"/>
    <w:rsid w:val="00357082"/>
    <w:rsid w:val="00357973"/>
    <w:rsid w:val="00361963"/>
    <w:rsid w:val="00374317"/>
    <w:rsid w:val="003771FA"/>
    <w:rsid w:val="00393406"/>
    <w:rsid w:val="003C2791"/>
    <w:rsid w:val="003C389B"/>
    <w:rsid w:val="003D1A8F"/>
    <w:rsid w:val="003E336F"/>
    <w:rsid w:val="003F03B4"/>
    <w:rsid w:val="003F1852"/>
    <w:rsid w:val="00425690"/>
    <w:rsid w:val="004258AF"/>
    <w:rsid w:val="00430711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B2D5E"/>
    <w:rsid w:val="004B3104"/>
    <w:rsid w:val="004B3885"/>
    <w:rsid w:val="004D1106"/>
    <w:rsid w:val="004D6DFC"/>
    <w:rsid w:val="004E3166"/>
    <w:rsid w:val="004E790D"/>
    <w:rsid w:val="004F079E"/>
    <w:rsid w:val="004F0840"/>
    <w:rsid w:val="004F0C45"/>
    <w:rsid w:val="004F5029"/>
    <w:rsid w:val="004F6CFF"/>
    <w:rsid w:val="0050418C"/>
    <w:rsid w:val="00511CCF"/>
    <w:rsid w:val="00512D0D"/>
    <w:rsid w:val="00517144"/>
    <w:rsid w:val="00521085"/>
    <w:rsid w:val="005316ED"/>
    <w:rsid w:val="0054351D"/>
    <w:rsid w:val="00543E59"/>
    <w:rsid w:val="00545781"/>
    <w:rsid w:val="00552725"/>
    <w:rsid w:val="00564F24"/>
    <w:rsid w:val="00571257"/>
    <w:rsid w:val="00571A21"/>
    <w:rsid w:val="005732FB"/>
    <w:rsid w:val="0057368C"/>
    <w:rsid w:val="00577D77"/>
    <w:rsid w:val="0058498D"/>
    <w:rsid w:val="00594C60"/>
    <w:rsid w:val="005A0221"/>
    <w:rsid w:val="005A21E7"/>
    <w:rsid w:val="005A34D6"/>
    <w:rsid w:val="005B0E7C"/>
    <w:rsid w:val="005D58A8"/>
    <w:rsid w:val="005D6F6A"/>
    <w:rsid w:val="005E506A"/>
    <w:rsid w:val="005F11BE"/>
    <w:rsid w:val="005F5FA5"/>
    <w:rsid w:val="00603797"/>
    <w:rsid w:val="00604A93"/>
    <w:rsid w:val="00622307"/>
    <w:rsid w:val="00624383"/>
    <w:rsid w:val="00664696"/>
    <w:rsid w:val="00695C6D"/>
    <w:rsid w:val="00695C7C"/>
    <w:rsid w:val="006A1C69"/>
    <w:rsid w:val="006B0546"/>
    <w:rsid w:val="006B3484"/>
    <w:rsid w:val="006B5E15"/>
    <w:rsid w:val="006C2EA8"/>
    <w:rsid w:val="006C2F61"/>
    <w:rsid w:val="006D3E1A"/>
    <w:rsid w:val="006D63F9"/>
    <w:rsid w:val="006D7090"/>
    <w:rsid w:val="006F4C30"/>
    <w:rsid w:val="00707F00"/>
    <w:rsid w:val="00721A23"/>
    <w:rsid w:val="00731F4E"/>
    <w:rsid w:val="00743204"/>
    <w:rsid w:val="00744D3D"/>
    <w:rsid w:val="007530C0"/>
    <w:rsid w:val="0075480F"/>
    <w:rsid w:val="00755CDE"/>
    <w:rsid w:val="0076552F"/>
    <w:rsid w:val="00766113"/>
    <w:rsid w:val="00773DFA"/>
    <w:rsid w:val="00781D26"/>
    <w:rsid w:val="007863B0"/>
    <w:rsid w:val="007873E6"/>
    <w:rsid w:val="007A2157"/>
    <w:rsid w:val="007A3B20"/>
    <w:rsid w:val="007A5CD3"/>
    <w:rsid w:val="007B3217"/>
    <w:rsid w:val="007B596F"/>
    <w:rsid w:val="007C7DBC"/>
    <w:rsid w:val="007D1568"/>
    <w:rsid w:val="007D58E4"/>
    <w:rsid w:val="007E08BB"/>
    <w:rsid w:val="007E2CA0"/>
    <w:rsid w:val="007F1830"/>
    <w:rsid w:val="008009D7"/>
    <w:rsid w:val="00804288"/>
    <w:rsid w:val="00804F1B"/>
    <w:rsid w:val="00807D51"/>
    <w:rsid w:val="00815315"/>
    <w:rsid w:val="00824EF7"/>
    <w:rsid w:val="00827EA2"/>
    <w:rsid w:val="00834381"/>
    <w:rsid w:val="00834914"/>
    <w:rsid w:val="008448D3"/>
    <w:rsid w:val="008457F1"/>
    <w:rsid w:val="008571FF"/>
    <w:rsid w:val="00860B3A"/>
    <w:rsid w:val="00864DB9"/>
    <w:rsid w:val="008745E6"/>
    <w:rsid w:val="00877340"/>
    <w:rsid w:val="00882A18"/>
    <w:rsid w:val="008840C3"/>
    <w:rsid w:val="008846AF"/>
    <w:rsid w:val="00890000"/>
    <w:rsid w:val="00896FD6"/>
    <w:rsid w:val="008A28A8"/>
    <w:rsid w:val="008B21A3"/>
    <w:rsid w:val="008B3477"/>
    <w:rsid w:val="008B68C1"/>
    <w:rsid w:val="008F49AE"/>
    <w:rsid w:val="00926451"/>
    <w:rsid w:val="00931CA4"/>
    <w:rsid w:val="00940693"/>
    <w:rsid w:val="009471D9"/>
    <w:rsid w:val="0096048D"/>
    <w:rsid w:val="00965FF1"/>
    <w:rsid w:val="00986AB1"/>
    <w:rsid w:val="009A2F02"/>
    <w:rsid w:val="009B097F"/>
    <w:rsid w:val="009C3699"/>
    <w:rsid w:val="009F2128"/>
    <w:rsid w:val="009F2969"/>
    <w:rsid w:val="009F520D"/>
    <w:rsid w:val="00A04A5B"/>
    <w:rsid w:val="00A07602"/>
    <w:rsid w:val="00A1391F"/>
    <w:rsid w:val="00A2161F"/>
    <w:rsid w:val="00A42E52"/>
    <w:rsid w:val="00A43611"/>
    <w:rsid w:val="00A523CB"/>
    <w:rsid w:val="00A64515"/>
    <w:rsid w:val="00A71FEB"/>
    <w:rsid w:val="00A73718"/>
    <w:rsid w:val="00A76508"/>
    <w:rsid w:val="00A76C78"/>
    <w:rsid w:val="00A80C75"/>
    <w:rsid w:val="00A87AC8"/>
    <w:rsid w:val="00A90C24"/>
    <w:rsid w:val="00A94169"/>
    <w:rsid w:val="00A94BD8"/>
    <w:rsid w:val="00AA1BDF"/>
    <w:rsid w:val="00AB0B2C"/>
    <w:rsid w:val="00AE47BD"/>
    <w:rsid w:val="00AF7733"/>
    <w:rsid w:val="00B04F80"/>
    <w:rsid w:val="00B2081B"/>
    <w:rsid w:val="00B2655F"/>
    <w:rsid w:val="00B309E0"/>
    <w:rsid w:val="00B33C6B"/>
    <w:rsid w:val="00B400BB"/>
    <w:rsid w:val="00B40AB5"/>
    <w:rsid w:val="00B47497"/>
    <w:rsid w:val="00B50532"/>
    <w:rsid w:val="00B733E0"/>
    <w:rsid w:val="00B94495"/>
    <w:rsid w:val="00B96095"/>
    <w:rsid w:val="00BA7123"/>
    <w:rsid w:val="00BA7ECE"/>
    <w:rsid w:val="00BB27B8"/>
    <w:rsid w:val="00BC0287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81B7D"/>
    <w:rsid w:val="00C878D6"/>
    <w:rsid w:val="00C87E4E"/>
    <w:rsid w:val="00CB61BC"/>
    <w:rsid w:val="00CC09E4"/>
    <w:rsid w:val="00CC6CB4"/>
    <w:rsid w:val="00CD0730"/>
    <w:rsid w:val="00CD5387"/>
    <w:rsid w:val="00CE7164"/>
    <w:rsid w:val="00CF3168"/>
    <w:rsid w:val="00CF70E7"/>
    <w:rsid w:val="00D03DD2"/>
    <w:rsid w:val="00D05826"/>
    <w:rsid w:val="00D07414"/>
    <w:rsid w:val="00D21155"/>
    <w:rsid w:val="00D27C9B"/>
    <w:rsid w:val="00D42999"/>
    <w:rsid w:val="00D512AC"/>
    <w:rsid w:val="00D70061"/>
    <w:rsid w:val="00D71646"/>
    <w:rsid w:val="00D91639"/>
    <w:rsid w:val="00DA3A7C"/>
    <w:rsid w:val="00DA73F4"/>
    <w:rsid w:val="00DB264B"/>
    <w:rsid w:val="00DB46B1"/>
    <w:rsid w:val="00DC02BB"/>
    <w:rsid w:val="00DC20DE"/>
    <w:rsid w:val="00DC282F"/>
    <w:rsid w:val="00DC47D1"/>
    <w:rsid w:val="00DD0FC4"/>
    <w:rsid w:val="00DD1FD1"/>
    <w:rsid w:val="00DD2468"/>
    <w:rsid w:val="00DD6488"/>
    <w:rsid w:val="00DE348D"/>
    <w:rsid w:val="00DE398B"/>
    <w:rsid w:val="00E01434"/>
    <w:rsid w:val="00E02D18"/>
    <w:rsid w:val="00E13C77"/>
    <w:rsid w:val="00E27740"/>
    <w:rsid w:val="00E32F1E"/>
    <w:rsid w:val="00E40720"/>
    <w:rsid w:val="00E5128B"/>
    <w:rsid w:val="00E624B3"/>
    <w:rsid w:val="00E673CE"/>
    <w:rsid w:val="00E72501"/>
    <w:rsid w:val="00E837DB"/>
    <w:rsid w:val="00E87D1F"/>
    <w:rsid w:val="00EA625A"/>
    <w:rsid w:val="00EB3382"/>
    <w:rsid w:val="00EB6497"/>
    <w:rsid w:val="00EC267A"/>
    <w:rsid w:val="00EC2F47"/>
    <w:rsid w:val="00EF0861"/>
    <w:rsid w:val="00EF2D6E"/>
    <w:rsid w:val="00F02CC5"/>
    <w:rsid w:val="00F05C7F"/>
    <w:rsid w:val="00F13E1C"/>
    <w:rsid w:val="00F13FD6"/>
    <w:rsid w:val="00F16975"/>
    <w:rsid w:val="00F21028"/>
    <w:rsid w:val="00F22353"/>
    <w:rsid w:val="00F27D51"/>
    <w:rsid w:val="00F30BBB"/>
    <w:rsid w:val="00F531B7"/>
    <w:rsid w:val="00F613AA"/>
    <w:rsid w:val="00F61B41"/>
    <w:rsid w:val="00F62288"/>
    <w:rsid w:val="00F6614E"/>
    <w:rsid w:val="00F71EFD"/>
    <w:rsid w:val="00F72EBF"/>
    <w:rsid w:val="00F75248"/>
    <w:rsid w:val="00F84099"/>
    <w:rsid w:val="00FB0F8F"/>
    <w:rsid w:val="00FB58DE"/>
    <w:rsid w:val="00FB698C"/>
    <w:rsid w:val="00FC3013"/>
    <w:rsid w:val="00FC58A4"/>
    <w:rsid w:val="00FE4716"/>
    <w:rsid w:val="00FF0FBB"/>
    <w:rsid w:val="00FF252B"/>
    <w:rsid w:val="00FF2945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5C36B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30C0"/>
    <w:pPr>
      <w:ind w:left="1134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ind w:left="431" w:hanging="431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7530C0"/>
    <w:pPr>
      <w:keepNext/>
      <w:numPr>
        <w:ilvl w:val="1"/>
        <w:numId w:val="1"/>
      </w:numPr>
      <w:tabs>
        <w:tab w:val="clear" w:pos="1144"/>
        <w:tab w:val="num" w:pos="567"/>
      </w:tabs>
      <w:spacing w:before="120" w:after="60"/>
      <w:ind w:left="567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530C0"/>
    <w:pPr>
      <w:keepNext/>
      <w:numPr>
        <w:ilvl w:val="3"/>
        <w:numId w:val="1"/>
      </w:numPr>
      <w:tabs>
        <w:tab w:val="clear" w:pos="864"/>
        <w:tab w:val="num" w:pos="1134"/>
      </w:tabs>
      <w:spacing w:before="120"/>
      <w:ind w:left="1134" w:hanging="1134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semiHidden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F141-2239-4379-A6BC-700E7CFF5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2092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16209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Direzione</cp:lastModifiedBy>
  <cp:revision>3</cp:revision>
  <cp:lastPrinted>2014-03-04T11:43:00Z</cp:lastPrinted>
  <dcterms:created xsi:type="dcterms:W3CDTF">2020-08-12T09:35:00Z</dcterms:created>
  <dcterms:modified xsi:type="dcterms:W3CDTF">2020-08-12T10:12:00Z</dcterms:modified>
</cp:coreProperties>
</file>