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A9D6D" w14:textId="755B03CC" w:rsidR="00CB4493" w:rsidRPr="00CB4493" w:rsidRDefault="007E0E87" w:rsidP="00043072">
      <w:pPr>
        <w:jc w:val="center"/>
        <w:rPr>
          <w:rFonts w:asciiTheme="minorHAnsi" w:hAnsiTheme="minorHAnsi" w:cstheme="minorHAnsi"/>
          <w:b/>
          <w:bCs/>
          <w:noProof/>
          <w:color w:val="222222"/>
          <w:sz w:val="36"/>
          <w:szCs w:val="36"/>
          <w:shd w:val="clear" w:color="auto" w:fill="FFFFFF"/>
        </w:rPr>
      </w:pPr>
      <w:r>
        <w:rPr>
          <w:rFonts w:asciiTheme="minorHAnsi" w:hAnsiTheme="minorHAnsi" w:cstheme="minorHAnsi"/>
          <w:b/>
          <w:bCs/>
          <w:noProof/>
          <w:color w:val="222222"/>
          <w:sz w:val="36"/>
          <w:szCs w:val="36"/>
          <w:shd w:val="clear" w:color="auto" w:fill="FFFFFF"/>
        </w:rPr>
        <w:drawing>
          <wp:inline distT="0" distB="0" distL="0" distR="0" wp14:anchorId="1D9E5304" wp14:editId="10484E82">
            <wp:extent cx="840581" cy="1190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06" cy="12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A9D2" w14:textId="3188D999" w:rsidR="00CB4493" w:rsidRDefault="00CB4493" w:rsidP="00043072">
      <w:pPr>
        <w:jc w:val="center"/>
        <w:rPr>
          <w:rFonts w:asciiTheme="minorHAnsi" w:hAnsiTheme="minorHAnsi" w:cstheme="minorHAnsi"/>
          <w:noProof/>
          <w:color w:val="222222"/>
          <w:sz w:val="20"/>
          <w:szCs w:val="20"/>
          <w:shd w:val="clear" w:color="auto" w:fill="FFFFFF"/>
        </w:rPr>
      </w:pPr>
    </w:p>
    <w:p w14:paraId="4ED848B4" w14:textId="43CFB22F" w:rsidR="00CB4493" w:rsidRPr="009C034A" w:rsidRDefault="00CB4493" w:rsidP="00CB4493">
      <w:pPr>
        <w:jc w:val="center"/>
        <w:rPr>
          <w:b/>
          <w:bCs/>
          <w:noProof/>
          <w:color w:val="222222"/>
          <w:sz w:val="28"/>
          <w:szCs w:val="28"/>
          <w:shd w:val="clear" w:color="auto" w:fill="FFFFFF"/>
        </w:rPr>
      </w:pPr>
      <w:r w:rsidRPr="009C034A">
        <w:rPr>
          <w:b/>
          <w:bCs/>
          <w:noProof/>
          <w:color w:val="222222"/>
          <w:sz w:val="28"/>
          <w:szCs w:val="28"/>
          <w:shd w:val="clear" w:color="auto" w:fill="FFFFFF"/>
        </w:rPr>
        <w:t xml:space="preserve">COMUNE DI </w:t>
      </w:r>
      <w:r w:rsidR="00594FDB">
        <w:rPr>
          <w:b/>
          <w:bCs/>
          <w:noProof/>
          <w:color w:val="222222"/>
          <w:sz w:val="28"/>
          <w:szCs w:val="28"/>
          <w:shd w:val="clear" w:color="auto" w:fill="FFFFFF"/>
        </w:rPr>
        <w:t>SANTA VITTORIA IN MATENA</w:t>
      </w:r>
      <w:r w:rsidR="00657908">
        <w:rPr>
          <w:b/>
          <w:bCs/>
          <w:noProof/>
          <w:color w:val="222222"/>
          <w:sz w:val="28"/>
          <w:szCs w:val="28"/>
          <w:shd w:val="clear" w:color="auto" w:fill="FFFFFF"/>
        </w:rPr>
        <w:t>NO</w:t>
      </w:r>
    </w:p>
    <w:p w14:paraId="6A10833E" w14:textId="1687D85D" w:rsidR="00CB4493" w:rsidRPr="009C034A" w:rsidRDefault="00CB4493" w:rsidP="00043072">
      <w:pPr>
        <w:jc w:val="center"/>
        <w:rPr>
          <w:noProof/>
          <w:color w:val="222222"/>
          <w:sz w:val="28"/>
          <w:szCs w:val="28"/>
          <w:shd w:val="clear" w:color="auto" w:fill="FFFFFF"/>
        </w:rPr>
      </w:pPr>
    </w:p>
    <w:p w14:paraId="4F69DAE5" w14:textId="77777777" w:rsidR="00CB4493" w:rsidRPr="009C034A" w:rsidRDefault="00CB4493" w:rsidP="00043072">
      <w:pPr>
        <w:jc w:val="center"/>
        <w:rPr>
          <w:color w:val="222222"/>
          <w:sz w:val="28"/>
          <w:szCs w:val="28"/>
          <w:shd w:val="clear" w:color="auto" w:fill="FFFFFF"/>
        </w:rPr>
      </w:pPr>
    </w:p>
    <w:p w14:paraId="7648E61B" w14:textId="77777777" w:rsidR="00996BAB" w:rsidRPr="009C034A" w:rsidRDefault="00864DB9" w:rsidP="002F5AA0">
      <w:pPr>
        <w:jc w:val="center"/>
        <w:rPr>
          <w:color w:val="222222"/>
          <w:sz w:val="28"/>
          <w:szCs w:val="28"/>
          <w:u w:val="single"/>
          <w:shd w:val="clear" w:color="auto" w:fill="FFFFFF"/>
        </w:rPr>
      </w:pPr>
      <w:r w:rsidRPr="009C034A">
        <w:rPr>
          <w:color w:val="222222"/>
          <w:sz w:val="28"/>
          <w:szCs w:val="28"/>
          <w:u w:val="single"/>
          <w:shd w:val="clear" w:color="auto" w:fill="FFFFFF"/>
        </w:rPr>
        <w:t>RELAZIONE DI ACCOMPAGNAMENTO</w:t>
      </w:r>
      <w:r w:rsidR="006F6BF5" w:rsidRPr="009C034A">
        <w:rPr>
          <w:color w:val="222222"/>
          <w:sz w:val="28"/>
          <w:szCs w:val="28"/>
          <w:u w:val="single"/>
          <w:shd w:val="clear" w:color="auto" w:fill="FFFFFF"/>
        </w:rPr>
        <w:t xml:space="preserve"> AL PEF</w:t>
      </w:r>
    </w:p>
    <w:p w14:paraId="75D3A1C0" w14:textId="3FF21ACA" w:rsidR="002F5AA0" w:rsidRPr="009C034A" w:rsidRDefault="00996BAB" w:rsidP="002F5AA0">
      <w:pPr>
        <w:jc w:val="center"/>
        <w:rPr>
          <w:color w:val="222222"/>
          <w:sz w:val="28"/>
          <w:szCs w:val="28"/>
          <w:u w:val="single"/>
          <w:shd w:val="clear" w:color="auto" w:fill="FFFFFF"/>
        </w:rPr>
      </w:pPr>
      <w:r w:rsidRPr="009C034A">
        <w:rPr>
          <w:color w:val="222222"/>
          <w:sz w:val="28"/>
          <w:szCs w:val="28"/>
          <w:u w:val="single"/>
          <w:shd w:val="clear" w:color="auto" w:fill="FFFFFF"/>
        </w:rPr>
        <w:t>Delibera 443/19 ARERA - Appendice 2</w:t>
      </w:r>
      <w:r w:rsidR="00064997" w:rsidRPr="009C034A">
        <w:rPr>
          <w:color w:val="222222"/>
          <w:sz w:val="28"/>
          <w:szCs w:val="28"/>
          <w:u w:val="single"/>
          <w:shd w:val="clear" w:color="auto" w:fill="FFFFFF"/>
        </w:rPr>
        <w:t xml:space="preserve"> </w:t>
      </w:r>
    </w:p>
    <w:p w14:paraId="52F126DA" w14:textId="055750B7" w:rsidR="000B0369" w:rsidRDefault="000B0369" w:rsidP="00393406">
      <w:pPr>
        <w:rPr>
          <w:color w:val="222222"/>
          <w:sz w:val="28"/>
          <w:szCs w:val="28"/>
          <w:u w:val="single"/>
          <w:shd w:val="clear" w:color="auto" w:fill="FFFFFF"/>
        </w:rPr>
      </w:pPr>
    </w:p>
    <w:p w14:paraId="01C03761" w14:textId="77777777" w:rsidR="009C034A" w:rsidRPr="009C034A" w:rsidRDefault="009C034A" w:rsidP="00393406">
      <w:pPr>
        <w:rPr>
          <w:color w:val="222222"/>
          <w:sz w:val="28"/>
          <w:szCs w:val="28"/>
          <w:u w:val="single"/>
          <w:shd w:val="clear" w:color="auto" w:fill="FFFFFF"/>
        </w:rPr>
      </w:pPr>
    </w:p>
    <w:p w14:paraId="086C6CD0" w14:textId="77777777" w:rsidR="002F5AA0" w:rsidRPr="009C034A" w:rsidRDefault="000B0369" w:rsidP="000B0369">
      <w:pPr>
        <w:jc w:val="center"/>
        <w:rPr>
          <w:color w:val="222222"/>
          <w:sz w:val="28"/>
          <w:szCs w:val="28"/>
          <w:shd w:val="clear" w:color="auto" w:fill="FFFFFF"/>
        </w:rPr>
      </w:pPr>
      <w:r w:rsidRPr="009C034A">
        <w:rPr>
          <w:color w:val="222222"/>
          <w:sz w:val="28"/>
          <w:szCs w:val="28"/>
          <w:shd w:val="clear" w:color="auto" w:fill="FFFFFF"/>
        </w:rPr>
        <w:t>Indice</w:t>
      </w:r>
    </w:p>
    <w:p w14:paraId="42972574" w14:textId="77777777" w:rsidR="005316ED" w:rsidRPr="009C034A" w:rsidRDefault="005316ED" w:rsidP="00393406">
      <w:pPr>
        <w:rPr>
          <w:color w:val="222222"/>
          <w:shd w:val="clear" w:color="auto" w:fill="FFFFFF"/>
        </w:rPr>
      </w:pPr>
    </w:p>
    <w:p w14:paraId="3B84AE54" w14:textId="77777777" w:rsidR="00CA3022" w:rsidRPr="009C034A" w:rsidRDefault="00CA3022" w:rsidP="00CA3022">
      <w:pPr>
        <w:rPr>
          <w:b/>
          <w:bCs/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 xml:space="preserve">1 - </w:t>
      </w:r>
      <w:r w:rsidRPr="009C034A">
        <w:rPr>
          <w:b/>
          <w:bCs/>
          <w:color w:val="222222"/>
          <w:shd w:val="clear" w:color="auto" w:fill="FFFFFF"/>
        </w:rPr>
        <w:t>Premessa</w:t>
      </w:r>
    </w:p>
    <w:p w14:paraId="6C20A886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3BEE1EFB" w14:textId="77777777" w:rsidR="00CA3022" w:rsidRPr="009C034A" w:rsidRDefault="00CA3022" w:rsidP="00CA3022">
      <w:pPr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2 – Relazione accompagnamento</w:t>
      </w:r>
    </w:p>
    <w:p w14:paraId="3927583A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35708921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2.1 – Perimetro della gestione / affidamento e servizi forniti</w:t>
      </w:r>
    </w:p>
    <w:p w14:paraId="39498B95" w14:textId="77777777" w:rsidR="00CA3022" w:rsidRPr="009C034A" w:rsidRDefault="00CA3022" w:rsidP="00CA3022">
      <w:pPr>
        <w:pStyle w:val="Titolo1"/>
        <w:numPr>
          <w:ilvl w:val="0"/>
          <w:numId w:val="0"/>
        </w:numPr>
        <w:ind w:firstLine="709"/>
        <w:rPr>
          <w:rFonts w:cs="Times New Roman"/>
          <w:b w:val="0"/>
          <w:bCs w:val="0"/>
          <w:color w:val="222222"/>
          <w:kern w:val="0"/>
          <w:sz w:val="24"/>
          <w:szCs w:val="24"/>
          <w:shd w:val="clear" w:color="auto" w:fill="FFFFFF"/>
        </w:rPr>
      </w:pPr>
      <w:r w:rsidRPr="009C034A">
        <w:rPr>
          <w:rFonts w:cs="Times New Roman"/>
          <w:b w:val="0"/>
          <w:bCs w:val="0"/>
          <w:color w:val="222222"/>
          <w:kern w:val="0"/>
          <w:sz w:val="24"/>
          <w:szCs w:val="24"/>
          <w:shd w:val="clear" w:color="auto" w:fill="FFFFFF"/>
        </w:rPr>
        <w:t xml:space="preserve">2.2 – Altre informazioni rilevanti </w:t>
      </w:r>
    </w:p>
    <w:p w14:paraId="557CAFBD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2B6ED2FB" w14:textId="77777777" w:rsidR="00CA3022" w:rsidRPr="009C034A" w:rsidRDefault="00CA3022" w:rsidP="00CA3022">
      <w:pPr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 – Dati relativi alla gestione dell’ambito o bacino di affidamento</w:t>
      </w:r>
    </w:p>
    <w:p w14:paraId="55A0C18C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132DF3F3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 xml:space="preserve">3.1 – </w:t>
      </w:r>
      <w:r w:rsidRPr="009C034A">
        <w:rPr>
          <w:color w:val="222222"/>
          <w:u w:val="single"/>
          <w:shd w:val="clear" w:color="auto" w:fill="FFFFFF"/>
        </w:rPr>
        <w:t>Dati tecnici e patrimoniali</w:t>
      </w:r>
    </w:p>
    <w:p w14:paraId="64F46DD1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3.1.1 Dati sul territorio gestito e sull’affidamento</w:t>
      </w:r>
    </w:p>
    <w:p w14:paraId="1025E224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3.1.2 Dati tecnici e di qualità</w:t>
      </w:r>
    </w:p>
    <w:p w14:paraId="1861322F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3.1.3 Fonti di finanziamento</w:t>
      </w:r>
    </w:p>
    <w:p w14:paraId="63CEE3E7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130A02EA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 xml:space="preserve">3.2. </w:t>
      </w:r>
      <w:r w:rsidRPr="009C034A">
        <w:rPr>
          <w:color w:val="222222"/>
          <w:u w:val="single"/>
          <w:shd w:val="clear" w:color="auto" w:fill="FFFFFF"/>
        </w:rPr>
        <w:t>Dati per la determinazione delle entrate di riferimento</w:t>
      </w:r>
    </w:p>
    <w:p w14:paraId="021E975D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6AA181C8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3.2.1 Dati di conto economico</w:t>
      </w:r>
    </w:p>
    <w:p w14:paraId="50FCBBEF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3.2.2 Focus sui ricavi derivanti da vendita di materiali e/o energia</w:t>
      </w:r>
    </w:p>
    <w:p w14:paraId="0AC2AE59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3.2.3 Dati relativi ai costi di capitale</w:t>
      </w:r>
    </w:p>
    <w:p w14:paraId="69A73CBC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4FD1DF2C" w14:textId="77777777" w:rsidR="00CA3022" w:rsidRPr="009C034A" w:rsidRDefault="00CA3022" w:rsidP="00CA3022">
      <w:pPr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4 - Valutazioni dell’ente territorialmente competente</w:t>
      </w:r>
    </w:p>
    <w:p w14:paraId="416B83E2" w14:textId="77777777" w:rsidR="00CA3022" w:rsidRPr="009C034A" w:rsidRDefault="00CA3022" w:rsidP="00CA3022">
      <w:pPr>
        <w:rPr>
          <w:color w:val="222222"/>
          <w:shd w:val="clear" w:color="auto" w:fill="FFFFFF"/>
        </w:rPr>
      </w:pPr>
    </w:p>
    <w:p w14:paraId="54AF5A54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4.1 Attività di validazione svolta</w:t>
      </w:r>
    </w:p>
    <w:p w14:paraId="66293190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4.2 Limite alla crescita annuale delle entrate tariffarie</w:t>
      </w:r>
    </w:p>
    <w:p w14:paraId="555F547A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4.3 Costi operativi incentivanti</w:t>
      </w:r>
    </w:p>
    <w:p w14:paraId="4538AD21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4.4 Eventuale superamento del limite alla crescita annuale delle entrate tariffarie</w:t>
      </w:r>
    </w:p>
    <w:p w14:paraId="2A56988A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 xml:space="preserve">4.5 Focus sulla gradualità per le annualità 2018 e 2019 </w:t>
      </w:r>
    </w:p>
    <w:p w14:paraId="5726BFE5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 xml:space="preserve">4.6 Focus sulla valorizzazione dei fattori di sharing </w:t>
      </w:r>
    </w:p>
    <w:p w14:paraId="049CA543" w14:textId="77777777" w:rsidR="00CA3022" w:rsidRPr="009C034A" w:rsidRDefault="00CA3022" w:rsidP="00CA3022">
      <w:pPr>
        <w:ind w:firstLine="709"/>
        <w:rPr>
          <w:color w:val="222222"/>
          <w:shd w:val="clear" w:color="auto" w:fill="FFFFFF"/>
        </w:rPr>
      </w:pPr>
      <w:r w:rsidRPr="009C034A">
        <w:rPr>
          <w:color w:val="222222"/>
          <w:shd w:val="clear" w:color="auto" w:fill="FFFFFF"/>
        </w:rPr>
        <w:t>4.7 Scelta degli ulteriori parametri</w:t>
      </w:r>
    </w:p>
    <w:p w14:paraId="087CB27E" w14:textId="53BCE04A" w:rsidR="0014400E" w:rsidRPr="009C034A" w:rsidRDefault="0014400E">
      <w:pPr>
        <w:jc w:val="left"/>
        <w:rPr>
          <w:b/>
          <w:bCs/>
        </w:rPr>
      </w:pPr>
      <w:r w:rsidRPr="009C034A">
        <w:rPr>
          <w:b/>
          <w:bCs/>
        </w:rPr>
        <w:br w:type="page"/>
      </w:r>
    </w:p>
    <w:p w14:paraId="2669D5C2" w14:textId="1BA00DDE" w:rsidR="00941EFA" w:rsidRPr="009C034A" w:rsidRDefault="0014400E" w:rsidP="00896FD6">
      <w:pPr>
        <w:rPr>
          <w:b/>
          <w:bCs/>
        </w:rPr>
      </w:pPr>
      <w:r w:rsidRPr="009C034A">
        <w:rPr>
          <w:b/>
          <w:bCs/>
        </w:rPr>
        <w:lastRenderedPageBreak/>
        <w:t xml:space="preserve">1 - </w:t>
      </w:r>
      <w:r w:rsidR="00192B90" w:rsidRPr="009C034A">
        <w:rPr>
          <w:b/>
          <w:bCs/>
        </w:rPr>
        <w:t>Premessa</w:t>
      </w:r>
    </w:p>
    <w:p w14:paraId="453A4273" w14:textId="77777777" w:rsidR="008E4C25" w:rsidRPr="009C034A" w:rsidRDefault="008E4C25" w:rsidP="00896FD6">
      <w:pPr>
        <w:rPr>
          <w:b/>
          <w:bCs/>
        </w:rPr>
      </w:pPr>
    </w:p>
    <w:p w14:paraId="671420D9" w14:textId="3AB4F176" w:rsidR="008E4C25" w:rsidRPr="009C034A" w:rsidRDefault="00554D0A" w:rsidP="00B17534">
      <w:pPr>
        <w:spacing w:line="276" w:lineRule="auto"/>
        <w:ind w:firstLine="360"/>
      </w:pPr>
      <w:r w:rsidRPr="009C034A">
        <w:t xml:space="preserve">In ottemperanza al disposto della deliberazione ARERA 443/2019/R/Rif del 31 ottobre 2019, questa </w:t>
      </w:r>
      <w:r w:rsidR="00AA5A0B" w:rsidRPr="009C034A">
        <w:t xml:space="preserve">Comune, inteso da ARERA come Gestore per la redazione della </w:t>
      </w:r>
      <w:r w:rsidR="00603C8C" w:rsidRPr="009C034A">
        <w:t>parte del PEF secondo l’MTR,</w:t>
      </w:r>
      <w:r w:rsidRPr="009C034A">
        <w:t xml:space="preserve"> ha predisposto e vi invia</w:t>
      </w:r>
      <w:r w:rsidR="008E4C25" w:rsidRPr="009C034A">
        <w:t>:</w:t>
      </w:r>
    </w:p>
    <w:p w14:paraId="0A3D1454" w14:textId="77777777" w:rsidR="008E4C25" w:rsidRPr="009C034A" w:rsidRDefault="008E4C25" w:rsidP="00B17534">
      <w:pPr>
        <w:spacing w:line="276" w:lineRule="auto"/>
      </w:pPr>
    </w:p>
    <w:p w14:paraId="644198C7" w14:textId="77777777" w:rsidR="008E4C25" w:rsidRPr="009C034A" w:rsidRDefault="008E4C25" w:rsidP="009D031D">
      <w:pPr>
        <w:numPr>
          <w:ilvl w:val="0"/>
          <w:numId w:val="3"/>
        </w:numPr>
        <w:spacing w:line="276" w:lineRule="auto"/>
      </w:pPr>
      <w:r w:rsidRPr="009C034A">
        <w:t>il PEF relativo alla gestione secondo lo schema tipo predisposto dall’Autorità di cui all’Appendice 1 della deliberazione 443/2019/R/</w:t>
      </w:r>
      <w:r w:rsidRPr="009C034A">
        <w:rPr>
          <w:smallCaps/>
        </w:rPr>
        <w:t xml:space="preserve">rif, </w:t>
      </w:r>
      <w:r w:rsidRPr="009C034A">
        <w:t>compila</w:t>
      </w:r>
      <w:r w:rsidR="009C391F" w:rsidRPr="009C034A">
        <w:t>ta</w:t>
      </w:r>
      <w:r w:rsidRPr="009C034A">
        <w:t xml:space="preserve"> per le parti di competenza;</w:t>
      </w:r>
    </w:p>
    <w:p w14:paraId="438F0853" w14:textId="77777777" w:rsidR="00554D0A" w:rsidRPr="009C034A" w:rsidRDefault="00554D0A" w:rsidP="00B17534">
      <w:pPr>
        <w:spacing w:line="276" w:lineRule="auto"/>
        <w:ind w:left="720"/>
      </w:pPr>
    </w:p>
    <w:p w14:paraId="613F1F8F" w14:textId="7ABE0ECD" w:rsidR="008E4C25" w:rsidRPr="009C034A" w:rsidRDefault="008E4C25" w:rsidP="009D031D">
      <w:pPr>
        <w:pStyle w:val="Corpodeltesto2"/>
        <w:widowControl w:val="0"/>
        <w:numPr>
          <w:ilvl w:val="0"/>
          <w:numId w:val="3"/>
        </w:numPr>
        <w:spacing w:line="276" w:lineRule="auto"/>
        <w:ind w:right="-81"/>
        <w:rPr>
          <w:color w:val="auto"/>
        </w:rPr>
      </w:pPr>
      <w:r w:rsidRPr="009C034A">
        <w:rPr>
          <w:color w:val="auto"/>
        </w:rPr>
        <w:t>una dichiarazione, predisposta utilizzando lo schema tipo di cui all’Appendice 3 della deliberazione 443/2019/R/</w:t>
      </w:r>
      <w:r w:rsidRPr="009C034A">
        <w:rPr>
          <w:smallCaps/>
          <w:color w:val="auto"/>
        </w:rPr>
        <w:t>rif</w:t>
      </w:r>
      <w:r w:rsidRPr="009C034A">
        <w:rPr>
          <w:color w:val="auto"/>
        </w:rPr>
        <w:t>, ai sensi del d.P.R. 445/00, sottoscritta dal legale rappresentante, attestante la veridicità dei dati trasmessi e la corrispondenza tra i valori riportati nella modulistica e i valori desumibili dalla documentazione contabile di riferimento tenuta ai sensi di legge;</w:t>
      </w:r>
    </w:p>
    <w:p w14:paraId="4DAA8EC2" w14:textId="77777777" w:rsidR="00554D0A" w:rsidRPr="009C034A" w:rsidRDefault="00554D0A" w:rsidP="00B17534">
      <w:pPr>
        <w:pStyle w:val="Corpodeltesto2"/>
        <w:widowControl w:val="0"/>
        <w:spacing w:line="276" w:lineRule="auto"/>
        <w:ind w:right="-81"/>
        <w:rPr>
          <w:color w:val="auto"/>
        </w:rPr>
      </w:pPr>
    </w:p>
    <w:p w14:paraId="23339234" w14:textId="77777777" w:rsidR="008E4C25" w:rsidRPr="009C034A" w:rsidRDefault="008E4C25" w:rsidP="009D031D">
      <w:pPr>
        <w:numPr>
          <w:ilvl w:val="0"/>
          <w:numId w:val="3"/>
        </w:numPr>
        <w:spacing w:line="276" w:lineRule="auto"/>
      </w:pPr>
      <w:r w:rsidRPr="009C034A">
        <w:t>la</w:t>
      </w:r>
      <w:r w:rsidR="009C391F" w:rsidRPr="009C034A">
        <w:t xml:space="preserve"> presente </w:t>
      </w:r>
      <w:r w:rsidRPr="009C034A">
        <w:t xml:space="preserve">relazione che illustra sia i criteri di corrispondenza tra i valori riportati nella modulistica e i valori desumibili dalla documentazione contabile, sia le evidenze contabili sottostanti, secondo </w:t>
      </w:r>
      <w:r w:rsidR="003D795F" w:rsidRPr="009C034A">
        <w:t xml:space="preserve">lo </w:t>
      </w:r>
      <w:r w:rsidRPr="009C034A">
        <w:t>schema di relazione tipo.</w:t>
      </w:r>
    </w:p>
    <w:p w14:paraId="0C7C93AF" w14:textId="77777777" w:rsidR="009C391F" w:rsidRPr="009C034A" w:rsidRDefault="009C391F" w:rsidP="00B17534">
      <w:pPr>
        <w:spacing w:line="276" w:lineRule="auto"/>
        <w:ind w:left="720"/>
      </w:pPr>
    </w:p>
    <w:p w14:paraId="33F37A2B" w14:textId="77777777" w:rsidR="009C391F" w:rsidRPr="009C034A" w:rsidRDefault="009C391F" w:rsidP="00B17534">
      <w:pPr>
        <w:spacing w:line="276" w:lineRule="auto"/>
      </w:pPr>
    </w:p>
    <w:p w14:paraId="1EA2A40E" w14:textId="387C48AC" w:rsidR="008E4C25" w:rsidRPr="009C034A" w:rsidRDefault="009C391F" w:rsidP="00B17534">
      <w:pPr>
        <w:spacing w:line="276" w:lineRule="auto"/>
        <w:ind w:firstLine="360"/>
      </w:pPr>
      <w:r w:rsidRPr="009C034A">
        <w:t xml:space="preserve">Il Vostro </w:t>
      </w:r>
      <w:r w:rsidR="008E4C25" w:rsidRPr="009C034A">
        <w:t xml:space="preserve">Ente territorialmente competente, sulla base dei dati e delle informazioni ricevute, </w:t>
      </w:r>
      <w:r w:rsidRPr="009C034A">
        <w:t xml:space="preserve">è tenuto ad </w:t>
      </w:r>
      <w:r w:rsidR="008E4C25" w:rsidRPr="009C034A">
        <w:t>effettua</w:t>
      </w:r>
      <w:r w:rsidRPr="009C034A">
        <w:t>re</w:t>
      </w:r>
      <w:r w:rsidR="008E4C25" w:rsidRPr="009C034A">
        <w:t xml:space="preserve"> l’attività di verifica di cui all’art. 6 della deliberazione 443/2019/R/</w:t>
      </w:r>
      <w:r w:rsidR="008E4C25" w:rsidRPr="009C034A">
        <w:rPr>
          <w:smallCaps/>
        </w:rPr>
        <w:t>rif</w:t>
      </w:r>
      <w:r w:rsidR="008E4C25" w:rsidRPr="009C034A">
        <w:t xml:space="preserve"> e provvede</w:t>
      </w:r>
      <w:r w:rsidRPr="009C034A">
        <w:t>rà</w:t>
      </w:r>
      <w:r w:rsidR="008E4C25" w:rsidRPr="009C034A">
        <w:t xml:space="preserve"> a trasmettere all’Autorità la documentazione prevista ai sensi del medesimo articolo.</w:t>
      </w:r>
    </w:p>
    <w:p w14:paraId="607C7E28" w14:textId="77777777" w:rsidR="009C391F" w:rsidRPr="009C034A" w:rsidRDefault="009C391F" w:rsidP="00896FD6"/>
    <w:p w14:paraId="5E0D6618" w14:textId="77777777" w:rsidR="00B17534" w:rsidRPr="009C034A" w:rsidRDefault="00B17534" w:rsidP="00896FD6"/>
    <w:p w14:paraId="431299E2" w14:textId="6959E9B0" w:rsidR="00D04CAF" w:rsidRPr="009C034A" w:rsidRDefault="00D04CAF">
      <w:pPr>
        <w:jc w:val="left"/>
      </w:pPr>
      <w:r w:rsidRPr="009C034A">
        <w:br w:type="page"/>
      </w:r>
    </w:p>
    <w:p w14:paraId="3BA653E9" w14:textId="77777777" w:rsidR="00B17534" w:rsidRPr="009C034A" w:rsidRDefault="00B17534" w:rsidP="00896FD6"/>
    <w:p w14:paraId="76EDDF31" w14:textId="77777777" w:rsidR="00CA3022" w:rsidRPr="009C034A" w:rsidRDefault="00CA3022" w:rsidP="009D031D">
      <w:pPr>
        <w:pStyle w:val="Paragrafoelenco"/>
        <w:numPr>
          <w:ilvl w:val="0"/>
          <w:numId w:val="7"/>
        </w:numPr>
        <w:spacing w:line="276" w:lineRule="auto"/>
        <w:rPr>
          <w:b/>
          <w:bCs/>
          <w:color w:val="222222"/>
          <w:sz w:val="24"/>
          <w:szCs w:val="24"/>
          <w:shd w:val="clear" w:color="auto" w:fill="FFFFFF"/>
        </w:rPr>
      </w:pPr>
      <w:r w:rsidRPr="009C034A">
        <w:rPr>
          <w:b/>
          <w:bCs/>
          <w:color w:val="222222"/>
          <w:sz w:val="24"/>
          <w:szCs w:val="24"/>
          <w:shd w:val="clear" w:color="auto" w:fill="FFFFFF"/>
        </w:rPr>
        <w:t>– Relazione di accompagnamento</w:t>
      </w:r>
    </w:p>
    <w:p w14:paraId="1E985AEE" w14:textId="731650B4" w:rsidR="00896FD6" w:rsidRPr="009C034A" w:rsidRDefault="00CA3022" w:rsidP="00CA3022">
      <w:pPr>
        <w:pStyle w:val="Titolo2"/>
        <w:numPr>
          <w:ilvl w:val="0"/>
          <w:numId w:val="0"/>
        </w:numPr>
        <w:ind w:left="567"/>
        <w:rPr>
          <w:rFonts w:cs="Times New Roman"/>
        </w:rPr>
      </w:pPr>
      <w:bookmarkStart w:id="0" w:name="_Toc23425316"/>
      <w:r w:rsidRPr="009C034A">
        <w:rPr>
          <w:rFonts w:cs="Times New Roman"/>
        </w:rPr>
        <w:t xml:space="preserve">2.1 - </w:t>
      </w:r>
      <w:r w:rsidR="00BD3E4A" w:rsidRPr="009C034A">
        <w:rPr>
          <w:rFonts w:cs="Times New Roman"/>
        </w:rPr>
        <w:t xml:space="preserve">Perimetro della gestione </w:t>
      </w:r>
      <w:r w:rsidR="00603C8C" w:rsidRPr="009C034A">
        <w:rPr>
          <w:rFonts w:cs="Times New Roman"/>
        </w:rPr>
        <w:t>e dei</w:t>
      </w:r>
      <w:r w:rsidR="00517144" w:rsidRPr="009C034A">
        <w:rPr>
          <w:rFonts w:cs="Times New Roman"/>
        </w:rPr>
        <w:t xml:space="preserve"> servizi forniti</w:t>
      </w:r>
      <w:bookmarkEnd w:id="0"/>
    </w:p>
    <w:p w14:paraId="55E52750" w14:textId="77777777" w:rsidR="008F0489" w:rsidRPr="009C034A" w:rsidRDefault="008F0489" w:rsidP="008F0489">
      <w:pPr>
        <w:rPr>
          <w:lang w:eastAsia="en-GB"/>
        </w:rPr>
      </w:pPr>
    </w:p>
    <w:p w14:paraId="3DE1694D" w14:textId="02F239DF" w:rsidR="007C7A91" w:rsidRPr="009C034A" w:rsidRDefault="00603C8C" w:rsidP="00603C8C">
      <w:pPr>
        <w:spacing w:line="360" w:lineRule="auto"/>
        <w:rPr>
          <w:b/>
          <w:bCs/>
          <w:lang w:eastAsia="en-GB"/>
        </w:rPr>
      </w:pPr>
      <w:r w:rsidRPr="009C034A">
        <w:rPr>
          <w:b/>
          <w:bCs/>
          <w:lang w:eastAsia="en-GB"/>
        </w:rPr>
        <w:t>ACCERTAMENTO, RISCOSSIONE E CONTENZIOSO</w:t>
      </w:r>
    </w:p>
    <w:p w14:paraId="1F7F21CD" w14:textId="6CF5AE76" w:rsidR="00F909ED" w:rsidRPr="009C034A" w:rsidRDefault="007C7A91" w:rsidP="00603C8C">
      <w:pPr>
        <w:spacing w:line="360" w:lineRule="auto"/>
        <w:rPr>
          <w:lang w:eastAsia="en-GB"/>
        </w:rPr>
      </w:pPr>
      <w:r w:rsidRPr="009C034A">
        <w:rPr>
          <w:lang w:eastAsia="en-GB"/>
        </w:rPr>
        <w:t xml:space="preserve">Con la qualificazione </w:t>
      </w:r>
      <w:r w:rsidR="00603C8C" w:rsidRPr="009C034A">
        <w:rPr>
          <w:lang w:eastAsia="en-GB"/>
        </w:rPr>
        <w:t xml:space="preserve">della natura </w:t>
      </w:r>
      <w:r w:rsidRPr="009C034A">
        <w:rPr>
          <w:lang w:eastAsia="en-GB"/>
        </w:rPr>
        <w:t>tributaria della TARI le attività di accertamento e contenzioso sono a complet</w:t>
      </w:r>
      <w:r w:rsidR="00001331" w:rsidRPr="009C034A">
        <w:rPr>
          <w:lang w:eastAsia="en-GB"/>
        </w:rPr>
        <w:t>o</w:t>
      </w:r>
      <w:r w:rsidRPr="009C034A">
        <w:rPr>
          <w:lang w:eastAsia="en-GB"/>
        </w:rPr>
        <w:t xml:space="preserve"> carico del Comune di </w:t>
      </w:r>
      <w:r w:rsidR="00594FDB">
        <w:rPr>
          <w:lang w:eastAsia="en-GB"/>
        </w:rPr>
        <w:t>SANTA VITTORIA IN MATENA</w:t>
      </w:r>
      <w:r w:rsidR="00657908">
        <w:rPr>
          <w:lang w:eastAsia="en-GB"/>
        </w:rPr>
        <w:t>NO</w:t>
      </w:r>
      <w:r w:rsidR="00603C8C" w:rsidRPr="009C034A">
        <w:rPr>
          <w:lang w:eastAsia="en-GB"/>
        </w:rPr>
        <w:t xml:space="preserve"> che effettua le </w:t>
      </w:r>
      <w:r w:rsidRPr="009C034A">
        <w:rPr>
          <w:lang w:eastAsia="en-GB"/>
        </w:rPr>
        <w:t xml:space="preserve">attività </w:t>
      </w:r>
      <w:r w:rsidR="00603C8C" w:rsidRPr="009C034A">
        <w:rPr>
          <w:lang w:eastAsia="en-GB"/>
        </w:rPr>
        <w:t>di</w:t>
      </w:r>
      <w:r w:rsidRPr="009C034A">
        <w:rPr>
          <w:lang w:eastAsia="en-GB"/>
        </w:rPr>
        <w:t xml:space="preserve"> gestione di uno sportello TARI che oltre alla gestione degli avvisi di pagamento per ogni utente, ha funzione di front e back office</w:t>
      </w:r>
      <w:r w:rsidR="00603C8C" w:rsidRPr="009C034A">
        <w:rPr>
          <w:lang w:eastAsia="en-GB"/>
        </w:rPr>
        <w:t xml:space="preserve">. </w:t>
      </w:r>
      <w:r w:rsidRPr="009C034A">
        <w:rPr>
          <w:lang w:eastAsia="en-GB"/>
        </w:rPr>
        <w:t>Esso fornisce una serie di servizi per tutta la popolazione assumendo un ruolo di congiunzione tra Azienda e cittadino e Comune</w:t>
      </w:r>
      <w:r w:rsidR="00745E22" w:rsidRPr="009C034A">
        <w:rPr>
          <w:lang w:eastAsia="en-GB"/>
        </w:rPr>
        <w:t>.</w:t>
      </w:r>
    </w:p>
    <w:p w14:paraId="104E78D4" w14:textId="5CBB4536" w:rsidR="00603C8C" w:rsidRPr="009C034A" w:rsidRDefault="00745E22" w:rsidP="00603C8C">
      <w:pPr>
        <w:spacing w:line="360" w:lineRule="auto"/>
        <w:rPr>
          <w:lang w:eastAsia="en-GB"/>
        </w:rPr>
      </w:pPr>
      <w:r w:rsidRPr="009C034A">
        <w:rPr>
          <w:lang w:eastAsia="en-GB"/>
        </w:rPr>
        <w:t xml:space="preserve">Per questo motivi sono stati </w:t>
      </w:r>
      <w:r w:rsidR="00C63EB5" w:rsidRPr="009C034A">
        <w:rPr>
          <w:lang w:eastAsia="en-GB"/>
        </w:rPr>
        <w:t xml:space="preserve">inseriti nel PEF le voci relativa a: </w:t>
      </w:r>
      <w:r w:rsidR="00441246" w:rsidRPr="009C034A">
        <w:rPr>
          <w:lang w:eastAsia="en-GB"/>
        </w:rPr>
        <w:t>CARC; Acc (relativi al Fondo FCDE)</w:t>
      </w:r>
      <w:r w:rsidR="001424FD">
        <w:rPr>
          <w:lang w:eastAsia="en-GB"/>
        </w:rPr>
        <w:t xml:space="preserve"> e CCD</w:t>
      </w:r>
      <w:r w:rsidR="00441246" w:rsidRPr="009C034A">
        <w:rPr>
          <w:lang w:eastAsia="en-GB"/>
        </w:rPr>
        <w:t>. Le voci della CARC sono state rivalutate ISTAT come previsto dalla delibera 443/18all (MTR), mentre la voce relativa agli accantonamenti (ACC) è stato inserito al 80% del valore del Fondo FCDE di sola TARI e di sola competenza 2018 escludendo così i residui.</w:t>
      </w:r>
    </w:p>
    <w:p w14:paraId="0751BD9D" w14:textId="174E075D" w:rsidR="00F909ED" w:rsidRPr="009C034A" w:rsidRDefault="00F909ED" w:rsidP="00603C8C">
      <w:pPr>
        <w:spacing w:line="360" w:lineRule="auto"/>
        <w:rPr>
          <w:lang w:eastAsia="en-GB"/>
        </w:rPr>
      </w:pPr>
    </w:p>
    <w:p w14:paraId="4A927649" w14:textId="77777777" w:rsidR="009C034A" w:rsidRPr="009C034A" w:rsidRDefault="009C034A" w:rsidP="003719A6">
      <w:pPr>
        <w:spacing w:line="360" w:lineRule="auto"/>
        <w:rPr>
          <w:lang w:eastAsia="en-GB"/>
        </w:rPr>
      </w:pPr>
      <w:r w:rsidRPr="009C034A">
        <w:rPr>
          <w:lang w:eastAsia="en-GB"/>
        </w:rPr>
        <w:t>I costi sostenuti dal Comune sono intesi per le attività inerenti i costi CARC sostenuti, riguardano le attività di accertamento e recupero evasione, riscossione coattiva, bollettazione ordinaria, sportello utenti, postalizzazione, ufficio ecologica per la distribuzione kit, etc.</w:t>
      </w:r>
    </w:p>
    <w:p w14:paraId="36543D0F" w14:textId="77777777" w:rsidR="003719A6" w:rsidRDefault="003719A6" w:rsidP="003719A6">
      <w:pPr>
        <w:spacing w:line="360" w:lineRule="auto"/>
        <w:rPr>
          <w:lang w:eastAsia="en-GB"/>
        </w:rPr>
      </w:pPr>
    </w:p>
    <w:p w14:paraId="6FD0B2D9" w14:textId="74F0009B" w:rsidR="009C034A" w:rsidRPr="0065556B" w:rsidRDefault="009C034A" w:rsidP="003719A6">
      <w:pPr>
        <w:spacing w:line="360" w:lineRule="auto"/>
        <w:rPr>
          <w:lang w:eastAsia="en-GB"/>
        </w:rPr>
      </w:pPr>
      <w:r w:rsidRPr="0065556B">
        <w:rPr>
          <w:lang w:eastAsia="en-GB"/>
        </w:rPr>
        <w:t>Nel caso di più attività svolte dal personale stesso, il driver di ribaltamento dei costi sul PEF, secondo l’MTR, è stato quello delle ore dedicate all’attività specifica, considerando i costi dedotti dallo stipendio:</w:t>
      </w:r>
    </w:p>
    <w:p w14:paraId="346A10FD" w14:textId="177D862A" w:rsidR="009C034A" w:rsidRPr="0065556B" w:rsidRDefault="009C034A" w:rsidP="003719A6">
      <w:pPr>
        <w:pStyle w:val="Paragrafoelenco"/>
        <w:numPr>
          <w:ilvl w:val="0"/>
          <w:numId w:val="37"/>
        </w:numPr>
        <w:spacing w:line="360" w:lineRule="auto"/>
        <w:rPr>
          <w:sz w:val="24"/>
          <w:szCs w:val="24"/>
          <w:lang w:eastAsia="en-GB"/>
        </w:rPr>
      </w:pPr>
      <w:r w:rsidRPr="0065556B">
        <w:rPr>
          <w:sz w:val="24"/>
          <w:szCs w:val="24"/>
          <w:lang w:eastAsia="en-GB"/>
        </w:rPr>
        <w:t xml:space="preserve">Personale Uff. </w:t>
      </w:r>
      <w:r w:rsidR="004F6EB2" w:rsidRPr="0065556B">
        <w:rPr>
          <w:sz w:val="24"/>
          <w:szCs w:val="24"/>
          <w:lang w:eastAsia="en-GB"/>
        </w:rPr>
        <w:t>Tributi</w:t>
      </w:r>
      <w:r w:rsidR="004F6EB2" w:rsidRPr="0065556B">
        <w:rPr>
          <w:sz w:val="24"/>
          <w:szCs w:val="24"/>
          <w:lang w:eastAsia="en-GB"/>
        </w:rPr>
        <w:tab/>
      </w:r>
      <w:r w:rsidR="004F6EB2" w:rsidRPr="0065556B">
        <w:rPr>
          <w:sz w:val="24"/>
          <w:szCs w:val="24"/>
          <w:lang w:eastAsia="en-GB"/>
        </w:rPr>
        <w:tab/>
      </w:r>
      <w:r w:rsidR="0065556B" w:rsidRPr="0065556B">
        <w:rPr>
          <w:sz w:val="24"/>
          <w:szCs w:val="24"/>
          <w:lang w:eastAsia="en-GB"/>
        </w:rPr>
        <w:t xml:space="preserve">Cap. 360-368/1-368/2-358 </w:t>
      </w:r>
      <w:r w:rsidRPr="0065556B">
        <w:rPr>
          <w:sz w:val="24"/>
          <w:szCs w:val="24"/>
          <w:lang w:eastAsia="en-GB"/>
        </w:rPr>
        <w:tab/>
        <w:t xml:space="preserve">Al </w:t>
      </w:r>
      <w:r w:rsidR="0065556B" w:rsidRPr="0065556B">
        <w:rPr>
          <w:sz w:val="24"/>
          <w:szCs w:val="24"/>
          <w:lang w:eastAsia="en-GB"/>
        </w:rPr>
        <w:t>24</w:t>
      </w:r>
      <w:r w:rsidRPr="0065556B">
        <w:rPr>
          <w:sz w:val="24"/>
          <w:szCs w:val="24"/>
          <w:lang w:eastAsia="en-GB"/>
        </w:rPr>
        <w:t xml:space="preserve"> %</w:t>
      </w:r>
    </w:p>
    <w:p w14:paraId="6A5E0186" w14:textId="77777777" w:rsidR="009C034A" w:rsidRPr="009C034A" w:rsidRDefault="009C034A" w:rsidP="003719A6">
      <w:pPr>
        <w:spacing w:line="360" w:lineRule="auto"/>
        <w:rPr>
          <w:lang w:eastAsia="en-GB"/>
        </w:rPr>
      </w:pPr>
    </w:p>
    <w:p w14:paraId="336D6140" w14:textId="5FCB79FC" w:rsidR="009C034A" w:rsidRPr="009C034A" w:rsidRDefault="009C034A" w:rsidP="003719A6">
      <w:pPr>
        <w:spacing w:line="360" w:lineRule="auto"/>
        <w:rPr>
          <w:lang w:eastAsia="en-GB"/>
        </w:rPr>
      </w:pPr>
      <w:r w:rsidRPr="009C034A">
        <w:rPr>
          <w:lang w:eastAsia="en-GB"/>
        </w:rPr>
        <w:t>Alla voce CARC sono poi stati aggiunti i costi di postalizzazione della TARI</w:t>
      </w:r>
      <w:r w:rsidR="003719A6">
        <w:rPr>
          <w:lang w:eastAsia="en-GB"/>
        </w:rPr>
        <w:t>, manutenzione HD e SW, spese di riscossione</w:t>
      </w:r>
      <w:r w:rsidR="001424FD">
        <w:rPr>
          <w:lang w:eastAsia="en-GB"/>
        </w:rPr>
        <w:t>.</w:t>
      </w:r>
    </w:p>
    <w:p w14:paraId="20BAAE64" w14:textId="77777777" w:rsidR="004F6EB2" w:rsidRPr="009C034A" w:rsidRDefault="004F6EB2" w:rsidP="003719A6">
      <w:pPr>
        <w:spacing w:line="360" w:lineRule="auto"/>
        <w:rPr>
          <w:lang w:eastAsia="en-GB"/>
        </w:rPr>
      </w:pPr>
    </w:p>
    <w:p w14:paraId="51BDB7E8" w14:textId="73E51872" w:rsidR="009C034A" w:rsidRPr="009C034A" w:rsidRDefault="009C034A" w:rsidP="003719A6">
      <w:pPr>
        <w:spacing w:line="360" w:lineRule="auto"/>
        <w:rPr>
          <w:lang w:eastAsia="en-GB"/>
        </w:rPr>
      </w:pPr>
      <w:r w:rsidRPr="009C034A">
        <w:rPr>
          <w:lang w:eastAsia="en-GB"/>
        </w:rPr>
        <w:t xml:space="preserve">I costi relativi ai crediti inesigibili (CCD) della sola TARI 2018 non sono stati individuati in quanto non presenti nell’annualità 2018, e dunque è stato inserito un valore pari a </w:t>
      </w:r>
      <w:r w:rsidR="002214ED" w:rsidRPr="002214ED">
        <w:rPr>
          <w:b/>
          <w:bCs/>
          <w:lang w:eastAsia="en-GB"/>
        </w:rPr>
        <w:t>€ 1.824,68</w:t>
      </w:r>
      <w:r w:rsidRPr="009C034A">
        <w:rPr>
          <w:lang w:eastAsia="en-GB"/>
        </w:rPr>
        <w:t>.</w:t>
      </w:r>
    </w:p>
    <w:p w14:paraId="76451CA4" w14:textId="77777777" w:rsidR="009C034A" w:rsidRPr="009C034A" w:rsidRDefault="009C034A" w:rsidP="003719A6">
      <w:pPr>
        <w:spacing w:line="360" w:lineRule="auto"/>
        <w:rPr>
          <w:lang w:eastAsia="en-GB"/>
        </w:rPr>
      </w:pPr>
    </w:p>
    <w:p w14:paraId="5468A5DB" w14:textId="07CA3D8C" w:rsidR="009C034A" w:rsidRPr="004F6EB2" w:rsidRDefault="009C034A" w:rsidP="003719A6">
      <w:pPr>
        <w:spacing w:line="360" w:lineRule="auto"/>
        <w:rPr>
          <w:b/>
          <w:bCs/>
          <w:lang w:eastAsia="en-GB"/>
        </w:rPr>
      </w:pPr>
      <w:r w:rsidRPr="009C034A">
        <w:rPr>
          <w:lang w:eastAsia="en-GB"/>
        </w:rPr>
        <w:t xml:space="preserve">I valori inseriti negli accantonamenti sono relativi al Fondo FCDE del Comune medesimo, della sola quota di competenza TARI del solo anno 2018, sono stati valutati pari al </w:t>
      </w:r>
      <w:r w:rsidR="003719A6">
        <w:rPr>
          <w:lang w:eastAsia="en-GB"/>
        </w:rPr>
        <w:t>80</w:t>
      </w:r>
      <w:r w:rsidRPr="009C034A">
        <w:rPr>
          <w:lang w:eastAsia="en-GB"/>
        </w:rPr>
        <w:t xml:space="preserve">%, dunque pari a </w:t>
      </w:r>
      <w:r w:rsidRPr="002214ED">
        <w:rPr>
          <w:b/>
          <w:bCs/>
          <w:lang w:eastAsia="en-GB"/>
        </w:rPr>
        <w:t>€</w:t>
      </w:r>
      <w:r w:rsidR="002214ED" w:rsidRPr="002214ED">
        <w:rPr>
          <w:b/>
          <w:bCs/>
          <w:lang w:eastAsia="en-GB"/>
        </w:rPr>
        <w:t xml:space="preserve"> 4.886,49</w:t>
      </w:r>
      <w:r w:rsidRPr="004F6EB2">
        <w:rPr>
          <w:b/>
          <w:bCs/>
          <w:lang w:eastAsia="en-GB"/>
        </w:rPr>
        <w:t>.</w:t>
      </w:r>
    </w:p>
    <w:p w14:paraId="4DAF9A26" w14:textId="77777777" w:rsidR="009C034A" w:rsidRPr="009C034A" w:rsidRDefault="009C034A" w:rsidP="003719A6">
      <w:pPr>
        <w:spacing w:line="360" w:lineRule="auto"/>
        <w:rPr>
          <w:lang w:eastAsia="en-GB"/>
        </w:rPr>
      </w:pPr>
    </w:p>
    <w:p w14:paraId="64B98A9B" w14:textId="77777777" w:rsidR="009C034A" w:rsidRPr="009C034A" w:rsidRDefault="009C034A" w:rsidP="003719A6">
      <w:pPr>
        <w:spacing w:line="360" w:lineRule="auto"/>
        <w:rPr>
          <w:lang w:eastAsia="en-GB"/>
        </w:rPr>
      </w:pPr>
      <w:r w:rsidRPr="009C034A">
        <w:rPr>
          <w:lang w:eastAsia="en-GB"/>
        </w:rPr>
        <w:lastRenderedPageBreak/>
        <w:t>In base alla recente Determina ARERA 002/20, nella riga “Detrazioni di cui al comma 1.4 della Determina n. 2/DRIF/2020”, sono stati inseriti i seguenti valori in detrazione dei costi:</w:t>
      </w:r>
    </w:p>
    <w:p w14:paraId="59EB9382" w14:textId="4DAA112B" w:rsidR="009C034A" w:rsidRPr="001424FD" w:rsidRDefault="009C034A" w:rsidP="009F592C">
      <w:pPr>
        <w:pStyle w:val="Paragrafoelenco"/>
        <w:numPr>
          <w:ilvl w:val="0"/>
          <w:numId w:val="38"/>
        </w:numPr>
        <w:spacing w:line="360" w:lineRule="auto"/>
        <w:rPr>
          <w:sz w:val="24"/>
          <w:szCs w:val="24"/>
          <w:lang w:eastAsia="en-GB"/>
        </w:rPr>
      </w:pPr>
      <w:r w:rsidRPr="009F592C">
        <w:rPr>
          <w:sz w:val="24"/>
          <w:szCs w:val="24"/>
          <w:lang w:eastAsia="en-GB"/>
        </w:rPr>
        <w:t>Contributo MIUR</w:t>
      </w:r>
      <w:r w:rsidR="009F592C" w:rsidRPr="009F592C">
        <w:rPr>
          <w:sz w:val="24"/>
          <w:szCs w:val="24"/>
          <w:lang w:eastAsia="en-GB"/>
        </w:rPr>
        <w:t xml:space="preserve"> ed</w:t>
      </w:r>
      <w:r w:rsidR="009F592C">
        <w:rPr>
          <w:sz w:val="24"/>
          <w:szCs w:val="24"/>
          <w:lang w:eastAsia="en-GB"/>
        </w:rPr>
        <w:t xml:space="preserve"> </w:t>
      </w:r>
      <w:r w:rsidR="009F592C" w:rsidRPr="009F592C">
        <w:rPr>
          <w:sz w:val="24"/>
          <w:szCs w:val="24"/>
          <w:lang w:eastAsia="en-GB"/>
        </w:rPr>
        <w:t>Entrate da accertamento</w:t>
      </w:r>
      <w:r w:rsidR="009F592C">
        <w:rPr>
          <w:b/>
          <w:bCs/>
          <w:sz w:val="24"/>
          <w:szCs w:val="24"/>
          <w:lang w:eastAsia="en-GB"/>
        </w:rPr>
        <w:t xml:space="preserve"> </w:t>
      </w:r>
      <w:r w:rsidR="009F592C" w:rsidRPr="001424FD">
        <w:rPr>
          <w:sz w:val="24"/>
          <w:szCs w:val="24"/>
          <w:lang w:eastAsia="en-GB"/>
        </w:rPr>
        <w:t>pari</w:t>
      </w:r>
      <w:r w:rsidR="009F592C">
        <w:rPr>
          <w:b/>
          <w:bCs/>
          <w:sz w:val="24"/>
          <w:szCs w:val="24"/>
          <w:lang w:eastAsia="en-GB"/>
        </w:rPr>
        <w:t xml:space="preserve"> </w:t>
      </w:r>
      <w:r w:rsidR="001424FD" w:rsidRPr="001424FD">
        <w:rPr>
          <w:b/>
          <w:bCs/>
          <w:sz w:val="24"/>
          <w:szCs w:val="24"/>
          <w:lang w:eastAsia="en-GB"/>
        </w:rPr>
        <w:t>€ 1.003,29</w:t>
      </w:r>
    </w:p>
    <w:p w14:paraId="10616B20" w14:textId="55944D0A" w:rsidR="001424FD" w:rsidRPr="009F592C" w:rsidRDefault="001424FD" w:rsidP="009F592C">
      <w:pPr>
        <w:pStyle w:val="Paragrafoelenco"/>
        <w:numPr>
          <w:ilvl w:val="0"/>
          <w:numId w:val="38"/>
        </w:numPr>
        <w:spacing w:line="360" w:lineRule="auto"/>
        <w:rPr>
          <w:sz w:val="24"/>
          <w:szCs w:val="24"/>
          <w:lang w:eastAsia="en-GB"/>
        </w:rPr>
      </w:pPr>
      <w:r w:rsidRPr="001424FD">
        <w:rPr>
          <w:sz w:val="24"/>
          <w:szCs w:val="24"/>
          <w:lang w:eastAsia="en-GB"/>
        </w:rPr>
        <w:t>Entrate da accertamento evasione/elusione pari a</w:t>
      </w:r>
      <w:r>
        <w:rPr>
          <w:b/>
          <w:bCs/>
          <w:sz w:val="24"/>
          <w:szCs w:val="24"/>
          <w:lang w:eastAsia="en-GB"/>
        </w:rPr>
        <w:t xml:space="preserve"> ZERO</w:t>
      </w:r>
    </w:p>
    <w:p w14:paraId="1CEAA436" w14:textId="77777777" w:rsidR="00745E22" w:rsidRPr="009C034A" w:rsidRDefault="00745E22" w:rsidP="00603C8C">
      <w:pPr>
        <w:spacing w:line="360" w:lineRule="auto"/>
        <w:rPr>
          <w:lang w:eastAsia="en-GB"/>
        </w:rPr>
      </w:pPr>
    </w:p>
    <w:p w14:paraId="0E714CE2" w14:textId="4147FAA4" w:rsidR="00426E8B" w:rsidRPr="004F6EB2" w:rsidRDefault="007C7A91" w:rsidP="00603C8C">
      <w:pPr>
        <w:spacing w:line="360" w:lineRule="auto"/>
        <w:rPr>
          <w:b/>
          <w:bCs/>
          <w:lang w:eastAsia="en-GB"/>
        </w:rPr>
      </w:pPr>
      <w:r w:rsidRPr="004F6EB2">
        <w:rPr>
          <w:b/>
          <w:bCs/>
          <w:lang w:eastAsia="en-GB"/>
        </w:rPr>
        <w:t>ALTRI SERVIZI DI IGIENE URBANA</w:t>
      </w:r>
      <w:r w:rsidR="00603C8C" w:rsidRPr="004F6EB2">
        <w:rPr>
          <w:b/>
          <w:bCs/>
          <w:lang w:eastAsia="en-GB"/>
        </w:rPr>
        <w:t xml:space="preserve"> GESTITI DAL COMUNE DI </w:t>
      </w:r>
      <w:r w:rsidR="00594FDB">
        <w:rPr>
          <w:b/>
          <w:bCs/>
          <w:lang w:eastAsia="en-GB"/>
        </w:rPr>
        <w:t>SANTA VITTORIA IN MATENA</w:t>
      </w:r>
    </w:p>
    <w:p w14:paraId="18A8E6BE" w14:textId="434C72F1" w:rsidR="0034191C" w:rsidRPr="009C034A" w:rsidRDefault="00584826" w:rsidP="00745E22">
      <w:pPr>
        <w:spacing w:line="360" w:lineRule="auto"/>
        <w:rPr>
          <w:lang w:eastAsia="en-GB"/>
        </w:rPr>
      </w:pPr>
      <w:r w:rsidRPr="009C034A">
        <w:rPr>
          <w:lang w:eastAsia="en-GB"/>
        </w:rPr>
        <w:t xml:space="preserve">A carico del Comune di </w:t>
      </w:r>
      <w:r w:rsidR="00594FDB">
        <w:rPr>
          <w:lang w:eastAsia="en-GB"/>
        </w:rPr>
        <w:t>SANTA VITTORIA IN MATENA</w:t>
      </w:r>
      <w:r w:rsidRPr="009C034A">
        <w:rPr>
          <w:lang w:eastAsia="en-GB"/>
        </w:rPr>
        <w:t xml:space="preserve"> </w:t>
      </w:r>
      <w:r w:rsidR="001424FD">
        <w:rPr>
          <w:lang w:eastAsia="en-GB"/>
        </w:rPr>
        <w:t xml:space="preserve">non </w:t>
      </w:r>
      <w:r w:rsidRPr="009C034A">
        <w:rPr>
          <w:lang w:eastAsia="en-GB"/>
        </w:rPr>
        <w:t xml:space="preserve">ci sono </w:t>
      </w:r>
      <w:r w:rsidR="00F909ED" w:rsidRPr="009C034A">
        <w:rPr>
          <w:lang w:eastAsia="en-GB"/>
        </w:rPr>
        <w:t>altri costi previsti dal MTR relativamente allo smaltimento rifiuti relativi alle voci CTS e CTR.</w:t>
      </w:r>
    </w:p>
    <w:p w14:paraId="072C2322" w14:textId="77777777" w:rsidR="001424FD" w:rsidRDefault="001424FD" w:rsidP="00745E22">
      <w:pPr>
        <w:spacing w:line="360" w:lineRule="auto"/>
        <w:rPr>
          <w:lang w:eastAsia="en-GB"/>
        </w:rPr>
      </w:pPr>
    </w:p>
    <w:p w14:paraId="7D1C0FD3" w14:textId="784D2CA8" w:rsidR="00745E22" w:rsidRPr="009C034A" w:rsidRDefault="00F909ED" w:rsidP="00745E22">
      <w:pPr>
        <w:spacing w:line="360" w:lineRule="auto"/>
        <w:rPr>
          <w:lang w:eastAsia="en-GB"/>
        </w:rPr>
      </w:pPr>
      <w:r w:rsidRPr="009C034A">
        <w:rPr>
          <w:lang w:eastAsia="en-GB"/>
        </w:rPr>
        <w:t xml:space="preserve">I costi di spazzamento, netto IVA e rivalutazione ISTAT, sono anch’essi stati estratti dall’impegnato 2018 e </w:t>
      </w:r>
      <w:r w:rsidR="001424FD">
        <w:rPr>
          <w:lang w:eastAsia="en-GB"/>
        </w:rPr>
        <w:t>sono a carico del</w:t>
      </w:r>
      <w:r w:rsidR="008B3ED8">
        <w:rPr>
          <w:lang w:eastAsia="en-GB"/>
        </w:rPr>
        <w:t xml:space="preserve"> Comune</w:t>
      </w:r>
      <w:r w:rsidR="001424FD">
        <w:rPr>
          <w:lang w:eastAsia="en-GB"/>
        </w:rPr>
        <w:t xml:space="preserve"> per attività svolte direttamente</w:t>
      </w:r>
      <w:r w:rsidR="008B3ED8">
        <w:rPr>
          <w:lang w:eastAsia="en-GB"/>
        </w:rPr>
        <w:t>.</w:t>
      </w:r>
    </w:p>
    <w:p w14:paraId="3A626DCB" w14:textId="77777777" w:rsidR="00745E22" w:rsidRPr="009C034A" w:rsidRDefault="00745E22" w:rsidP="00745E22">
      <w:pPr>
        <w:spacing w:line="360" w:lineRule="auto"/>
      </w:pPr>
    </w:p>
    <w:p w14:paraId="22A8B4CF" w14:textId="77777777" w:rsidR="0034191C" w:rsidRPr="009C034A" w:rsidRDefault="00CA3022" w:rsidP="008F0489">
      <w:pPr>
        <w:pStyle w:val="Titolo2"/>
        <w:numPr>
          <w:ilvl w:val="0"/>
          <w:numId w:val="0"/>
        </w:numPr>
        <w:rPr>
          <w:rFonts w:cs="Times New Roman"/>
        </w:rPr>
      </w:pPr>
      <w:bookmarkStart w:id="1" w:name="_Toc23425317"/>
      <w:r w:rsidRPr="009C034A">
        <w:rPr>
          <w:rFonts w:cs="Times New Roman"/>
        </w:rPr>
        <w:t>2</w:t>
      </w:r>
      <w:r w:rsidR="008F0489" w:rsidRPr="009C034A">
        <w:rPr>
          <w:rFonts w:cs="Times New Roman"/>
        </w:rPr>
        <w:t xml:space="preserve">.2 </w:t>
      </w:r>
      <w:r w:rsidR="0034191C" w:rsidRPr="009C034A">
        <w:rPr>
          <w:rFonts w:cs="Times New Roman"/>
        </w:rPr>
        <w:t>Altre informazioni rilevanti</w:t>
      </w:r>
      <w:bookmarkEnd w:id="1"/>
    </w:p>
    <w:p w14:paraId="3D2D1C00" w14:textId="77777777" w:rsidR="003A7A20" w:rsidRPr="009C034A" w:rsidRDefault="003A7A20" w:rsidP="003E336F"/>
    <w:p w14:paraId="06980BB0" w14:textId="056F8460" w:rsidR="003E336F" w:rsidRPr="009C034A" w:rsidRDefault="003A7A20" w:rsidP="004F6EB2">
      <w:pPr>
        <w:spacing w:line="360" w:lineRule="auto"/>
        <w:rPr>
          <w:lang w:eastAsia="en-GB"/>
        </w:rPr>
      </w:pPr>
      <w:r w:rsidRPr="009C034A">
        <w:rPr>
          <w:lang w:eastAsia="en-GB"/>
        </w:rPr>
        <w:t>Per quanto riguarda l’esecuzione del servizio, i</w:t>
      </w:r>
      <w:r w:rsidR="008F0489" w:rsidRPr="009C034A">
        <w:rPr>
          <w:lang w:eastAsia="en-GB"/>
        </w:rPr>
        <w:t xml:space="preserve">n merito a ricorsi pendenti e sentenze passate in giudicato </w:t>
      </w:r>
      <w:r w:rsidR="00725852" w:rsidRPr="009C034A">
        <w:rPr>
          <w:lang w:eastAsia="en-GB"/>
        </w:rPr>
        <w:t>n</w:t>
      </w:r>
      <w:r w:rsidR="008F0489" w:rsidRPr="009C034A">
        <w:rPr>
          <w:lang w:eastAsia="en-GB"/>
        </w:rPr>
        <w:t>on risulta nulla</w:t>
      </w:r>
      <w:r w:rsidR="004F6EB2">
        <w:rPr>
          <w:lang w:eastAsia="en-GB"/>
        </w:rPr>
        <w:t>.</w:t>
      </w:r>
    </w:p>
    <w:p w14:paraId="120510B1" w14:textId="77777777" w:rsidR="009E00E1" w:rsidRPr="009C034A" w:rsidRDefault="009E00E1">
      <w:pPr>
        <w:jc w:val="left"/>
      </w:pPr>
      <w:r w:rsidRPr="009C034A">
        <w:br w:type="page"/>
      </w:r>
    </w:p>
    <w:p w14:paraId="002C3303" w14:textId="77777777" w:rsidR="00E65FCF" w:rsidRPr="009C034A" w:rsidRDefault="00E65FCF" w:rsidP="00D02C3D">
      <w:pPr>
        <w:pStyle w:val="Titolo1"/>
        <w:numPr>
          <w:ilvl w:val="0"/>
          <w:numId w:val="7"/>
        </w:numPr>
        <w:rPr>
          <w:rFonts w:cs="Times New Roman"/>
          <w:sz w:val="24"/>
          <w:szCs w:val="24"/>
        </w:rPr>
      </w:pPr>
      <w:r w:rsidRPr="009C034A">
        <w:rPr>
          <w:rFonts w:cs="Times New Roman"/>
          <w:sz w:val="24"/>
          <w:szCs w:val="24"/>
        </w:rPr>
        <w:lastRenderedPageBreak/>
        <w:t>- Dati relativi alla gestione dell’ambito o bacino di affidamento forniti dal gestore</w:t>
      </w:r>
    </w:p>
    <w:p w14:paraId="3AADA3C0" w14:textId="77777777" w:rsidR="00E65FCF" w:rsidRPr="009C034A" w:rsidRDefault="00E65FCF" w:rsidP="00E65FCF"/>
    <w:p w14:paraId="077CBF6F" w14:textId="77777777" w:rsidR="00E65FCF" w:rsidRPr="009C034A" w:rsidRDefault="00E65FCF" w:rsidP="00E65FCF"/>
    <w:p w14:paraId="57C8C40A" w14:textId="77777777" w:rsidR="00E65FCF" w:rsidRPr="009C034A" w:rsidRDefault="00E65FCF" w:rsidP="00E65FCF">
      <w:pPr>
        <w:rPr>
          <w:b/>
          <w:bCs/>
        </w:rPr>
      </w:pPr>
      <w:r w:rsidRPr="009C034A">
        <w:t>3.1</w:t>
      </w:r>
      <w:r w:rsidRPr="009C034A">
        <w:rPr>
          <w:b/>
          <w:bCs/>
        </w:rPr>
        <w:t>. Dati tecnici e patrimoniali</w:t>
      </w:r>
    </w:p>
    <w:p w14:paraId="4C158EBF" w14:textId="77777777" w:rsidR="00E65FCF" w:rsidRPr="009C034A" w:rsidRDefault="00E65FCF" w:rsidP="00E65FCF">
      <w:pPr>
        <w:pStyle w:val="Titolo2"/>
        <w:numPr>
          <w:ilvl w:val="0"/>
          <w:numId w:val="0"/>
        </w:numPr>
        <w:rPr>
          <w:rFonts w:cs="Times New Roman"/>
        </w:rPr>
      </w:pPr>
    </w:p>
    <w:p w14:paraId="2DCA0F37" w14:textId="77777777" w:rsidR="00E65FCF" w:rsidRPr="009C034A" w:rsidRDefault="00E65FCF" w:rsidP="009D031D">
      <w:pPr>
        <w:pStyle w:val="Titolo3"/>
        <w:numPr>
          <w:ilvl w:val="2"/>
          <w:numId w:val="8"/>
        </w:numPr>
        <w:ind w:left="709"/>
        <w:rPr>
          <w:rFonts w:cs="Times New Roman"/>
          <w:i w:val="0"/>
          <w:iCs/>
        </w:rPr>
      </w:pPr>
      <w:r w:rsidRPr="009C034A">
        <w:rPr>
          <w:rFonts w:cs="Times New Roman"/>
          <w:i w:val="0"/>
          <w:iCs/>
        </w:rPr>
        <w:t>Dati tecnici e di qualità</w:t>
      </w:r>
    </w:p>
    <w:p w14:paraId="40753A3A" w14:textId="77777777" w:rsidR="00E65FCF" w:rsidRPr="009C034A" w:rsidRDefault="00E65FCF" w:rsidP="00E65FCF">
      <w:pPr>
        <w:pStyle w:val="Corpotesto"/>
        <w:rPr>
          <w:rFonts w:ascii="Times New Roman" w:hAnsi="Times New Roman"/>
          <w:sz w:val="24"/>
          <w:szCs w:val="24"/>
          <w:lang w:val="it-IT"/>
        </w:rPr>
      </w:pPr>
    </w:p>
    <w:p w14:paraId="6C47AD04" w14:textId="77777777" w:rsidR="00E65FCF" w:rsidRPr="009C034A" w:rsidRDefault="00E65FCF" w:rsidP="00E65FCF">
      <w:pPr>
        <w:pStyle w:val="Titolo3"/>
        <w:numPr>
          <w:ilvl w:val="0"/>
          <w:numId w:val="0"/>
        </w:numPr>
        <w:ind w:left="720" w:hanging="720"/>
        <w:rPr>
          <w:rFonts w:cs="Times New Roman"/>
          <w:i w:val="0"/>
          <w:iCs/>
        </w:rPr>
      </w:pPr>
      <w:r w:rsidRPr="009C034A">
        <w:rPr>
          <w:rFonts w:cs="Times New Roman"/>
          <w:i w:val="0"/>
          <w:iCs/>
        </w:rPr>
        <w:t>3.1.3 Fonti di finanziamento</w:t>
      </w:r>
    </w:p>
    <w:p w14:paraId="6B4E8F9D" w14:textId="77777777" w:rsidR="00E65FCF" w:rsidRPr="009C034A" w:rsidRDefault="00E65FCF" w:rsidP="00E65FCF">
      <w:pPr>
        <w:rPr>
          <w:lang w:eastAsia="en-GB"/>
        </w:rPr>
      </w:pPr>
    </w:p>
    <w:p w14:paraId="3FE87225" w14:textId="77777777" w:rsidR="00E65FCF" w:rsidRPr="009C034A" w:rsidRDefault="00E65FCF" w:rsidP="00E65FCF">
      <w:pPr>
        <w:rPr>
          <w:b/>
          <w:bCs/>
          <w:lang w:eastAsia="en-GB"/>
        </w:rPr>
      </w:pPr>
      <w:r w:rsidRPr="009C034A">
        <w:rPr>
          <w:b/>
          <w:bCs/>
          <w:lang w:eastAsia="en-GB"/>
        </w:rPr>
        <w:t>3.2 Dati per la determinazione delle entrate di riferimento</w:t>
      </w:r>
    </w:p>
    <w:p w14:paraId="536FD5E0" w14:textId="77777777" w:rsidR="00E65FCF" w:rsidRPr="009C034A" w:rsidRDefault="00E65FCF" w:rsidP="00E65FCF">
      <w:pPr>
        <w:rPr>
          <w:lang w:eastAsia="en-GB"/>
        </w:rPr>
      </w:pPr>
    </w:p>
    <w:p w14:paraId="2C76D78C" w14:textId="77777777" w:rsidR="00E65FCF" w:rsidRPr="009C034A" w:rsidRDefault="00E65FCF" w:rsidP="00E65FCF">
      <w:pPr>
        <w:pStyle w:val="Titolo3"/>
        <w:numPr>
          <w:ilvl w:val="0"/>
          <w:numId w:val="0"/>
        </w:numPr>
        <w:ind w:left="720" w:hanging="720"/>
        <w:rPr>
          <w:rFonts w:cs="Times New Roman"/>
          <w:i w:val="0"/>
        </w:rPr>
      </w:pPr>
      <w:r w:rsidRPr="009C034A">
        <w:rPr>
          <w:rFonts w:cs="Times New Roman"/>
          <w:i w:val="0"/>
        </w:rPr>
        <w:t>3.2.1 Dati di conto economico</w:t>
      </w:r>
    </w:p>
    <w:p w14:paraId="6637DEEA" w14:textId="77777777" w:rsidR="009E00E1" w:rsidRPr="009C034A" w:rsidRDefault="009E00E1" w:rsidP="009E00E1">
      <w:pPr>
        <w:rPr>
          <w:highlight w:val="yellow"/>
        </w:rPr>
      </w:pPr>
    </w:p>
    <w:p w14:paraId="164ACD78" w14:textId="77777777" w:rsidR="00E65FCF" w:rsidRPr="009C034A" w:rsidRDefault="00E65FCF" w:rsidP="009D031D">
      <w:pPr>
        <w:pStyle w:val="Titolo3"/>
        <w:numPr>
          <w:ilvl w:val="0"/>
          <w:numId w:val="6"/>
        </w:numPr>
        <w:ind w:left="426"/>
        <w:rPr>
          <w:rFonts w:cs="Times New Roman"/>
          <w:i w:val="0"/>
        </w:rPr>
      </w:pPr>
      <w:r w:rsidRPr="009C034A">
        <w:rPr>
          <w:rFonts w:cs="Times New Roman"/>
          <w:i w:val="0"/>
        </w:rPr>
        <w:t>3.2.2 Focus sui ricavi derivanti da vendita di materiali e/o energia</w:t>
      </w:r>
    </w:p>
    <w:p w14:paraId="178A25FE" w14:textId="72B7677D" w:rsidR="00C6120D" w:rsidRPr="009C034A" w:rsidRDefault="00C6120D">
      <w:pPr>
        <w:jc w:val="left"/>
        <w:rPr>
          <w:lang w:eastAsia="en-GB"/>
        </w:rPr>
      </w:pPr>
    </w:p>
    <w:p w14:paraId="29E047C8" w14:textId="77777777" w:rsidR="00E65FCF" w:rsidRPr="009C034A" w:rsidRDefault="00E65FCF" w:rsidP="009D031D">
      <w:pPr>
        <w:pStyle w:val="Titolo3"/>
        <w:numPr>
          <w:ilvl w:val="0"/>
          <w:numId w:val="6"/>
        </w:numPr>
        <w:ind w:left="426"/>
        <w:rPr>
          <w:rFonts w:cs="Times New Roman"/>
          <w:i w:val="0"/>
        </w:rPr>
      </w:pPr>
      <w:r w:rsidRPr="009C034A">
        <w:rPr>
          <w:rFonts w:cs="Times New Roman"/>
          <w:i w:val="0"/>
        </w:rPr>
        <w:t>3.2.3 Dati relativi ai costi di capitale</w:t>
      </w:r>
    </w:p>
    <w:p w14:paraId="1341ACE2" w14:textId="0371DB2A" w:rsidR="005048E8" w:rsidRPr="009C034A" w:rsidRDefault="005048E8">
      <w:pPr>
        <w:jc w:val="left"/>
        <w:rPr>
          <w:lang w:eastAsia="en-GB"/>
        </w:rPr>
      </w:pPr>
      <w:r w:rsidRPr="009C034A">
        <w:rPr>
          <w:lang w:eastAsia="en-GB"/>
        </w:rPr>
        <w:br w:type="page"/>
      </w:r>
    </w:p>
    <w:p w14:paraId="59920A21" w14:textId="77777777" w:rsidR="00E65FCF" w:rsidRPr="009C034A" w:rsidRDefault="00E65FCF" w:rsidP="009D031D">
      <w:pPr>
        <w:pStyle w:val="Titolo1"/>
        <w:numPr>
          <w:ilvl w:val="0"/>
          <w:numId w:val="7"/>
        </w:numPr>
        <w:ind w:left="431" w:hanging="431"/>
        <w:rPr>
          <w:rFonts w:cs="Times New Roman"/>
          <w:sz w:val="24"/>
          <w:szCs w:val="24"/>
        </w:rPr>
      </w:pPr>
      <w:bookmarkStart w:id="2" w:name="_Toc23425327"/>
      <w:r w:rsidRPr="009C034A">
        <w:rPr>
          <w:rFonts w:cs="Times New Roman"/>
          <w:sz w:val="24"/>
          <w:szCs w:val="24"/>
        </w:rPr>
        <w:lastRenderedPageBreak/>
        <w:t>Valutazioni dell’Ente territorialmente competente</w:t>
      </w:r>
      <w:bookmarkEnd w:id="2"/>
    </w:p>
    <w:p w14:paraId="1812D481" w14:textId="10574208" w:rsidR="008215EA" w:rsidRPr="009C034A" w:rsidRDefault="008215EA" w:rsidP="00FF354E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3" w:name="_Toc35879044"/>
      <w:r w:rsidRPr="009C034A">
        <w:rPr>
          <w:rFonts w:cs="Times New Roman"/>
          <w:sz w:val="24"/>
          <w:szCs w:val="24"/>
        </w:rPr>
        <w:t>Attività di validazione svolta</w:t>
      </w:r>
      <w:bookmarkEnd w:id="3"/>
    </w:p>
    <w:p w14:paraId="6F858FC7" w14:textId="77777777" w:rsidR="008215EA" w:rsidRPr="009C034A" w:rsidRDefault="008215EA" w:rsidP="00FF354E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4" w:name="_Toc23425329"/>
      <w:bookmarkStart w:id="5" w:name="_Toc35879045"/>
      <w:r w:rsidRPr="009C034A">
        <w:rPr>
          <w:rFonts w:cs="Times New Roman"/>
          <w:sz w:val="24"/>
          <w:szCs w:val="24"/>
        </w:rPr>
        <w:t>Limite alla crescita annuale delle entrate tariffarie</w:t>
      </w:r>
      <w:bookmarkEnd w:id="4"/>
      <w:bookmarkEnd w:id="5"/>
      <w:r w:rsidRPr="009C034A">
        <w:rPr>
          <w:rFonts w:cs="Times New Roman"/>
          <w:sz w:val="24"/>
          <w:szCs w:val="24"/>
        </w:rPr>
        <w:t xml:space="preserve"> </w:t>
      </w:r>
    </w:p>
    <w:p w14:paraId="71E9C1D2" w14:textId="49768174" w:rsidR="008215EA" w:rsidRPr="009C034A" w:rsidRDefault="008215EA" w:rsidP="008215EA">
      <w:r w:rsidRPr="009C034A">
        <w:t>Ente territorialmente competente ha verificato il rispetto del limite alla variazione annuale delle entrate tariffarie di cui al comma 4.1 del MTR, motivando la determinazione dei fattori pari a:</w:t>
      </w:r>
    </w:p>
    <w:p w14:paraId="62512E7B" w14:textId="77777777" w:rsidR="00A12858" w:rsidRPr="009C034A" w:rsidRDefault="00A12858" w:rsidP="008215EA"/>
    <w:p w14:paraId="2FBD914C" w14:textId="0D929D45" w:rsidR="008215EA" w:rsidRPr="009C034A" w:rsidRDefault="009C4A59" w:rsidP="008215EA">
      <w:pPr>
        <w:numPr>
          <w:ilvl w:val="0"/>
          <w:numId w:val="23"/>
        </w:numPr>
        <w:rPr>
          <w:b/>
          <w:bCs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QL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</m:oMath>
      <w:r w:rsidR="008215EA" w:rsidRPr="009C034A">
        <w:rPr>
          <w:b/>
          <w:bCs/>
        </w:rPr>
        <w:tab/>
        <w:t>+</w:t>
      </w:r>
      <w:r w:rsidR="00FF354E" w:rsidRPr="009C034A">
        <w:rPr>
          <w:b/>
          <w:bCs/>
        </w:rPr>
        <w:t xml:space="preserve"> 0</w:t>
      </w:r>
      <w:r w:rsidR="008215EA" w:rsidRPr="009C034A">
        <w:rPr>
          <w:b/>
          <w:bCs/>
        </w:rPr>
        <w:t>%</w:t>
      </w:r>
    </w:p>
    <w:p w14:paraId="167BDBC4" w14:textId="5749A5F6" w:rsidR="008215EA" w:rsidRPr="009C034A" w:rsidRDefault="009C4A59" w:rsidP="008215EA">
      <w:pPr>
        <w:numPr>
          <w:ilvl w:val="0"/>
          <w:numId w:val="23"/>
        </w:numPr>
        <w:rPr>
          <w:b/>
          <w:bCs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PG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</m:oMath>
      <w:r w:rsidR="008215EA" w:rsidRPr="009C034A">
        <w:rPr>
          <w:b/>
          <w:bCs/>
        </w:rPr>
        <w:tab/>
        <w:t>+</w:t>
      </w:r>
      <w:r w:rsidR="00FF354E" w:rsidRPr="009C034A">
        <w:rPr>
          <w:b/>
          <w:bCs/>
        </w:rPr>
        <w:t xml:space="preserve"> </w:t>
      </w:r>
      <w:r w:rsidR="008215EA" w:rsidRPr="009C034A">
        <w:rPr>
          <w:b/>
          <w:bCs/>
        </w:rPr>
        <w:t>0%</w:t>
      </w:r>
    </w:p>
    <w:p w14:paraId="28AAA8CC" w14:textId="4148372E" w:rsidR="008215EA" w:rsidRPr="009C034A" w:rsidRDefault="008215EA" w:rsidP="008215EA">
      <w:pPr>
        <w:numPr>
          <w:ilvl w:val="0"/>
          <w:numId w:val="23"/>
        </w:numPr>
        <w:rPr>
          <w:b/>
          <w:bCs/>
        </w:rPr>
      </w:pPr>
      <w:r w:rsidRPr="009C034A">
        <w:rPr>
          <w:b/>
          <w:bCs/>
        </w:rPr>
        <w:fldChar w:fldCharType="begin"/>
      </w:r>
      <w:r w:rsidRPr="009C034A">
        <w:rPr>
          <w:b/>
          <w:bCs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Pr="009C034A">
        <w:rPr>
          <w:b/>
          <w:bCs/>
        </w:rPr>
        <w:instrText xml:space="preserve"> </w:instrText>
      </w:r>
      <w:r w:rsidRPr="009C034A">
        <w:rPr>
          <w:b/>
          <w:bCs/>
        </w:rPr>
        <w:fldChar w:fldCharType="separate"/>
      </w:r>
      <w:r w:rsidRPr="009C034A">
        <w:rPr>
          <w:b/>
          <w:bCs/>
          <w:position w:val="-6"/>
        </w:rPr>
        <w:t>Xa</w:t>
      </w:r>
      <w:r w:rsidRPr="009C034A">
        <w:rPr>
          <w:b/>
          <w:bCs/>
        </w:rPr>
        <w:fldChar w:fldCharType="end"/>
      </w:r>
      <w:r w:rsidRPr="009C034A">
        <w:rPr>
          <w:b/>
          <w:bCs/>
        </w:rPr>
        <w:tab/>
        <w:t>-</w:t>
      </w:r>
      <w:r w:rsidR="00FF354E" w:rsidRPr="009C034A">
        <w:rPr>
          <w:b/>
          <w:bCs/>
        </w:rPr>
        <w:t xml:space="preserve"> </w:t>
      </w:r>
      <w:r w:rsidRPr="009C034A">
        <w:rPr>
          <w:b/>
          <w:bCs/>
        </w:rPr>
        <w:t>0,1%</w:t>
      </w:r>
    </w:p>
    <w:p w14:paraId="361A7599" w14:textId="0A79C2B2" w:rsidR="008215EA" w:rsidRPr="009C034A" w:rsidRDefault="008215EA" w:rsidP="008215EA">
      <w:pPr>
        <w:numPr>
          <w:ilvl w:val="0"/>
          <w:numId w:val="23"/>
        </w:numPr>
        <w:rPr>
          <w:b/>
          <w:bCs/>
        </w:rPr>
      </w:pPr>
      <w:r w:rsidRPr="009C034A">
        <w:rPr>
          <w:b/>
          <w:bCs/>
        </w:rPr>
        <w:t>Rpia</w:t>
      </w:r>
      <w:r w:rsidRPr="009C034A">
        <w:rPr>
          <w:b/>
          <w:bCs/>
        </w:rPr>
        <w:tab/>
        <w:t>+</w:t>
      </w:r>
      <w:r w:rsidR="00FF354E" w:rsidRPr="009C034A">
        <w:rPr>
          <w:b/>
          <w:bCs/>
        </w:rPr>
        <w:t xml:space="preserve"> </w:t>
      </w:r>
      <w:r w:rsidRPr="009C034A">
        <w:rPr>
          <w:b/>
          <w:bCs/>
        </w:rPr>
        <w:t>1.7%</w:t>
      </w:r>
    </w:p>
    <w:p w14:paraId="301E401B" w14:textId="77777777" w:rsidR="008215EA" w:rsidRPr="009C034A" w:rsidRDefault="008215EA" w:rsidP="008215EA"/>
    <w:p w14:paraId="42463F34" w14:textId="77777777" w:rsidR="008215EA" w:rsidRPr="009C034A" w:rsidRDefault="008215EA" w:rsidP="008215EA"/>
    <w:p w14:paraId="1BF380EA" w14:textId="77777777" w:rsidR="008215EA" w:rsidRPr="009C034A" w:rsidRDefault="008215EA" w:rsidP="00FF354E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6" w:name="_Toc23425330"/>
      <w:bookmarkStart w:id="7" w:name="_Toc35879046"/>
      <w:r w:rsidRPr="009C034A">
        <w:rPr>
          <w:rFonts w:cs="Times New Roman"/>
          <w:sz w:val="24"/>
          <w:szCs w:val="24"/>
        </w:rPr>
        <w:t>Costi operativi incentivanti</w:t>
      </w:r>
      <w:bookmarkEnd w:id="6"/>
      <w:bookmarkEnd w:id="7"/>
    </w:p>
    <w:p w14:paraId="6DBD6C9D" w14:textId="1B26A6AA" w:rsidR="008215EA" w:rsidRPr="009C034A" w:rsidRDefault="00502928" w:rsidP="00F45F0C">
      <w:pPr>
        <w:numPr>
          <w:ilvl w:val="0"/>
          <w:numId w:val="23"/>
        </w:numPr>
      </w:pPr>
      <w:r w:rsidRPr="009C034A">
        <w:t xml:space="preserve">Non sono previsti </w:t>
      </w:r>
      <w:r w:rsidR="008B1BBE" w:rsidRPr="009C034A">
        <w:t xml:space="preserve">costi operativi incentivanti dunque i valori di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QL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8B1BBE" w:rsidRPr="009C034A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PG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8B1BBE" w:rsidRPr="009C034A">
        <w:t xml:space="preserve"> sono stati posti </w:t>
      </w:r>
      <w:r w:rsidR="00D71E78" w:rsidRPr="009C034A">
        <w:t>a ZERO.</w:t>
      </w:r>
    </w:p>
    <w:p w14:paraId="751243FF" w14:textId="77777777" w:rsidR="008215EA" w:rsidRPr="009C034A" w:rsidRDefault="008215EA" w:rsidP="008215EA">
      <w:pPr>
        <w:rPr>
          <w:lang w:eastAsia="en-GB"/>
        </w:rPr>
      </w:pPr>
    </w:p>
    <w:p w14:paraId="58C78B37" w14:textId="77777777" w:rsidR="008215EA" w:rsidRPr="009C034A" w:rsidRDefault="008215EA" w:rsidP="00FF354E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8" w:name="_Toc23425331"/>
      <w:bookmarkStart w:id="9" w:name="_Toc35879047"/>
      <w:r w:rsidRPr="009C034A">
        <w:rPr>
          <w:rFonts w:cs="Times New Roman"/>
          <w:sz w:val="24"/>
          <w:szCs w:val="24"/>
        </w:rPr>
        <w:t>Eventuale superamento del limite alla crescita annuale delle entrate tariffarie</w:t>
      </w:r>
      <w:bookmarkEnd w:id="8"/>
      <w:bookmarkEnd w:id="9"/>
      <w:r w:rsidRPr="009C034A">
        <w:rPr>
          <w:rFonts w:cs="Times New Roman"/>
          <w:sz w:val="24"/>
          <w:szCs w:val="24"/>
        </w:rPr>
        <w:t xml:space="preserve"> </w:t>
      </w:r>
    </w:p>
    <w:p w14:paraId="51032B82" w14:textId="77777777" w:rsidR="008215EA" w:rsidRPr="009C034A" w:rsidRDefault="008215EA" w:rsidP="008215EA"/>
    <w:p w14:paraId="01A901DB" w14:textId="243065A3" w:rsidR="008215EA" w:rsidRPr="009C034A" w:rsidRDefault="008215EA" w:rsidP="00FF354E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10" w:name="_Toc35879048"/>
      <w:r w:rsidRPr="009C034A">
        <w:rPr>
          <w:rFonts w:cs="Times New Roman"/>
          <w:sz w:val="24"/>
          <w:szCs w:val="24"/>
        </w:rPr>
        <w:t>Focus sulla gradualità per le annualità 2018 e 2019</w:t>
      </w:r>
      <w:bookmarkEnd w:id="10"/>
    </w:p>
    <w:p w14:paraId="4DF46ADA" w14:textId="77777777" w:rsidR="005048E8" w:rsidRPr="009C034A" w:rsidRDefault="005048E8" w:rsidP="008215EA"/>
    <w:p w14:paraId="093203F2" w14:textId="77777777" w:rsidR="008215EA" w:rsidRPr="009C034A" w:rsidRDefault="008215EA" w:rsidP="00FB4D08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11" w:name="_Toc35879049"/>
      <w:r w:rsidRPr="009C034A">
        <w:rPr>
          <w:rFonts w:cs="Times New Roman"/>
          <w:sz w:val="24"/>
          <w:szCs w:val="24"/>
        </w:rPr>
        <w:t>Focus sulla valorizzazione dei fattori di sharing</w:t>
      </w:r>
      <w:bookmarkEnd w:id="11"/>
      <w:r w:rsidRPr="009C034A">
        <w:rPr>
          <w:rFonts w:cs="Times New Roman"/>
          <w:sz w:val="24"/>
          <w:szCs w:val="24"/>
        </w:rPr>
        <w:t xml:space="preserve"> </w:t>
      </w:r>
    </w:p>
    <w:p w14:paraId="02DBDBE6" w14:textId="77777777" w:rsidR="008215EA" w:rsidRPr="009C034A" w:rsidRDefault="008215EA" w:rsidP="008215EA"/>
    <w:p w14:paraId="478FC3FF" w14:textId="77777777" w:rsidR="008215EA" w:rsidRPr="009C034A" w:rsidRDefault="008215EA" w:rsidP="00FB4D08">
      <w:pPr>
        <w:pStyle w:val="Titolo1"/>
        <w:numPr>
          <w:ilvl w:val="1"/>
          <w:numId w:val="7"/>
        </w:numPr>
        <w:rPr>
          <w:rFonts w:cs="Times New Roman"/>
          <w:sz w:val="24"/>
          <w:szCs w:val="24"/>
        </w:rPr>
      </w:pPr>
      <w:bookmarkStart w:id="12" w:name="_Toc23425334"/>
      <w:bookmarkStart w:id="13" w:name="_Toc35879050"/>
      <w:r w:rsidRPr="009C034A">
        <w:rPr>
          <w:rFonts w:cs="Times New Roman"/>
          <w:sz w:val="24"/>
          <w:szCs w:val="24"/>
        </w:rPr>
        <w:t>Scelta degli ulteriori parametri</w:t>
      </w:r>
      <w:bookmarkEnd w:id="12"/>
      <w:bookmarkEnd w:id="13"/>
      <w:r w:rsidRPr="009C034A">
        <w:rPr>
          <w:rFonts w:cs="Times New Roman"/>
          <w:sz w:val="24"/>
          <w:szCs w:val="24"/>
        </w:rPr>
        <w:t xml:space="preserve"> </w:t>
      </w:r>
    </w:p>
    <w:p w14:paraId="715EE561" w14:textId="77777777" w:rsidR="008215EA" w:rsidRPr="009C034A" w:rsidRDefault="008215EA" w:rsidP="008215EA">
      <w:r w:rsidRPr="009C034A">
        <w:t>l’Ente territorialmente non ha ritenuto necessario avvalersi di ulteriori parametri rispetto a quanto previsto nel MTR (delibera 443/19all).</w:t>
      </w:r>
    </w:p>
    <w:p w14:paraId="60929F9D" w14:textId="77777777" w:rsidR="008215EA" w:rsidRPr="009C034A" w:rsidRDefault="008215EA" w:rsidP="008215EA">
      <w:pPr>
        <w:rPr>
          <w:lang w:eastAsia="en-GB"/>
        </w:rPr>
      </w:pPr>
    </w:p>
    <w:p w14:paraId="2A37CE2C" w14:textId="2675ABEE" w:rsidR="00EC471E" w:rsidRPr="009C034A" w:rsidRDefault="00EC471E" w:rsidP="00DC42D1">
      <w:pPr>
        <w:jc w:val="left"/>
        <w:rPr>
          <w:lang w:eastAsia="en-GB"/>
        </w:rPr>
      </w:pPr>
    </w:p>
    <w:sectPr w:rsidR="00EC471E" w:rsidRPr="009C034A">
      <w:footerReference w:type="even" r:id="rId12"/>
      <w:footerReference w:type="defaul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55C88" w14:textId="77777777" w:rsidR="009C4A59" w:rsidRDefault="009C4A59" w:rsidP="00393406">
      <w:r>
        <w:separator/>
      </w:r>
    </w:p>
  </w:endnote>
  <w:endnote w:type="continuationSeparator" w:id="0">
    <w:p w14:paraId="6F210B8F" w14:textId="77777777" w:rsidR="009C4A59" w:rsidRDefault="009C4A59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56F90" w14:textId="77777777" w:rsidR="00FF249F" w:rsidRDefault="00FF249F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DC5CE91" w14:textId="77777777" w:rsidR="00FF249F" w:rsidRDefault="00FF249F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809ED" w14:textId="77777777" w:rsidR="00FF249F" w:rsidRDefault="00FF249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45F5E" w:rsidRPr="00645F5E">
      <w:rPr>
        <w:noProof/>
        <w:lang w:val="it-IT"/>
      </w:rPr>
      <w:t>22</w:t>
    </w:r>
    <w:r>
      <w:fldChar w:fldCharType="end"/>
    </w:r>
  </w:p>
  <w:p w14:paraId="0F718DA9" w14:textId="77777777" w:rsidR="00FF249F" w:rsidRDefault="00FF249F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B3CD2" w14:textId="77777777" w:rsidR="009C4A59" w:rsidRDefault="009C4A59" w:rsidP="00393406">
      <w:r>
        <w:separator/>
      </w:r>
    </w:p>
  </w:footnote>
  <w:footnote w:type="continuationSeparator" w:id="0">
    <w:p w14:paraId="5A4F79D7" w14:textId="77777777" w:rsidR="009C4A59" w:rsidRDefault="009C4A59" w:rsidP="00393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E75"/>
    <w:multiLevelType w:val="hybridMultilevel"/>
    <w:tmpl w:val="E5D6E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279F2"/>
    <w:multiLevelType w:val="hybridMultilevel"/>
    <w:tmpl w:val="10E45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4F9"/>
    <w:multiLevelType w:val="multilevel"/>
    <w:tmpl w:val="C544677C"/>
    <w:lvl w:ilvl="0">
      <w:start w:val="1"/>
      <w:numFmt w:val="upperRoman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7B95833"/>
    <w:multiLevelType w:val="singleLevel"/>
    <w:tmpl w:val="04702119"/>
    <w:lvl w:ilvl="0">
      <w:numFmt w:val="bullet"/>
      <w:lvlText w:val="q"/>
      <w:lvlJc w:val="left"/>
      <w:pPr>
        <w:tabs>
          <w:tab w:val="num" w:pos="288"/>
        </w:tabs>
        <w:ind w:left="72"/>
      </w:pPr>
      <w:rPr>
        <w:rFonts w:ascii="Wingdings" w:hAnsi="Wingdings"/>
        <w:snapToGrid/>
        <w:sz w:val="22"/>
      </w:rPr>
    </w:lvl>
  </w:abstractNum>
  <w:abstractNum w:abstractNumId="4" w15:restartNumberingAfterBreak="0">
    <w:nsid w:val="0C1D5F25"/>
    <w:multiLevelType w:val="hybridMultilevel"/>
    <w:tmpl w:val="B2469D32"/>
    <w:lvl w:ilvl="0" w:tplc="0066BEF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E7E46"/>
    <w:multiLevelType w:val="multilevel"/>
    <w:tmpl w:val="A6B048A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F25C7F"/>
    <w:multiLevelType w:val="multilevel"/>
    <w:tmpl w:val="69CEA2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027354B"/>
    <w:multiLevelType w:val="hybridMultilevel"/>
    <w:tmpl w:val="6A7A5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B177F"/>
    <w:multiLevelType w:val="hybridMultilevel"/>
    <w:tmpl w:val="2C5C0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9449CF"/>
    <w:multiLevelType w:val="hybridMultilevel"/>
    <w:tmpl w:val="B37AC0FC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6E67E99"/>
    <w:multiLevelType w:val="hybridMultilevel"/>
    <w:tmpl w:val="0C50D5F2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99D1D0C"/>
    <w:multiLevelType w:val="hybridMultilevel"/>
    <w:tmpl w:val="0F56C61E"/>
    <w:lvl w:ilvl="0" w:tplc="0066BEF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92553"/>
    <w:multiLevelType w:val="multilevel"/>
    <w:tmpl w:val="38F0BE8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13" w15:restartNumberingAfterBreak="0">
    <w:nsid w:val="34ED2F09"/>
    <w:multiLevelType w:val="hybridMultilevel"/>
    <w:tmpl w:val="767E36A4"/>
    <w:lvl w:ilvl="0" w:tplc="0410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8637ACA"/>
    <w:multiLevelType w:val="hybridMultilevel"/>
    <w:tmpl w:val="C2C6BB62"/>
    <w:lvl w:ilvl="0" w:tplc="33106B38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8EC6BD1"/>
    <w:multiLevelType w:val="hybridMultilevel"/>
    <w:tmpl w:val="001C98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D2E45"/>
    <w:multiLevelType w:val="hybridMultilevel"/>
    <w:tmpl w:val="74A0B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357B3"/>
    <w:multiLevelType w:val="hybridMultilevel"/>
    <w:tmpl w:val="78F85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4688"/>
        </w:tabs>
        <w:ind w:left="4688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4E556DA"/>
    <w:multiLevelType w:val="hybridMultilevel"/>
    <w:tmpl w:val="AB380D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35C1C"/>
    <w:multiLevelType w:val="hybridMultilevel"/>
    <w:tmpl w:val="83BAF1A8"/>
    <w:lvl w:ilvl="0" w:tplc="C58E5E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82124"/>
    <w:multiLevelType w:val="hybridMultilevel"/>
    <w:tmpl w:val="4C42D368"/>
    <w:lvl w:ilvl="0" w:tplc="650025C4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D76A7"/>
    <w:multiLevelType w:val="hybridMultilevel"/>
    <w:tmpl w:val="7D22E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60943"/>
    <w:multiLevelType w:val="hybridMultilevel"/>
    <w:tmpl w:val="DFD23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80933"/>
    <w:multiLevelType w:val="hybridMultilevel"/>
    <w:tmpl w:val="29E826B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8EA2C96"/>
    <w:multiLevelType w:val="hybridMultilevel"/>
    <w:tmpl w:val="75522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007D2"/>
    <w:multiLevelType w:val="hybridMultilevel"/>
    <w:tmpl w:val="4192E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22"/>
  </w:num>
  <w:num w:numId="4">
    <w:abstractNumId w:val="28"/>
  </w:num>
  <w:num w:numId="5">
    <w:abstractNumId w:val="15"/>
  </w:num>
  <w:num w:numId="6">
    <w:abstractNumId w:val="7"/>
  </w:num>
  <w:num w:numId="7">
    <w:abstractNumId w:val="5"/>
  </w:num>
  <w:num w:numId="8">
    <w:abstractNumId w:val="12"/>
  </w:num>
  <w:num w:numId="9">
    <w:abstractNumId w:val="20"/>
  </w:num>
  <w:num w:numId="10">
    <w:abstractNumId w:val="17"/>
  </w:num>
  <w:num w:numId="11">
    <w:abstractNumId w:val="26"/>
  </w:num>
  <w:num w:numId="12">
    <w:abstractNumId w:val="27"/>
  </w:num>
  <w:num w:numId="13">
    <w:abstractNumId w:val="11"/>
  </w:num>
  <w:num w:numId="14">
    <w:abstractNumId w:val="4"/>
  </w:num>
  <w:num w:numId="15">
    <w:abstractNumId w:val="3"/>
  </w:num>
  <w:num w:numId="16">
    <w:abstractNumId w:val="19"/>
  </w:num>
  <w:num w:numId="17">
    <w:abstractNumId w:val="6"/>
  </w:num>
  <w:num w:numId="18">
    <w:abstractNumId w:val="21"/>
  </w:num>
  <w:num w:numId="19">
    <w:abstractNumId w:val="1"/>
  </w:num>
  <w:num w:numId="20">
    <w:abstractNumId w:val="14"/>
  </w:num>
  <w:num w:numId="21">
    <w:abstractNumId w:val="7"/>
  </w:num>
  <w:num w:numId="22">
    <w:abstractNumId w:val="13"/>
  </w:num>
  <w:num w:numId="23">
    <w:abstractNumId w:val="0"/>
  </w:num>
  <w:num w:numId="24">
    <w:abstractNumId w:val="10"/>
  </w:num>
  <w:num w:numId="25">
    <w:abstractNumId w:val="2"/>
  </w:num>
  <w:num w:numId="26">
    <w:abstractNumId w:val="9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24"/>
  </w:num>
  <w:num w:numId="36">
    <w:abstractNumId w:val="8"/>
  </w:num>
  <w:num w:numId="37">
    <w:abstractNumId w:val="23"/>
  </w:num>
  <w:num w:numId="3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81"/>
    <w:rsid w:val="00001331"/>
    <w:rsid w:val="00001870"/>
    <w:rsid w:val="000061DE"/>
    <w:rsid w:val="000126F9"/>
    <w:rsid w:val="00021F42"/>
    <w:rsid w:val="00026264"/>
    <w:rsid w:val="00027ED3"/>
    <w:rsid w:val="0003102B"/>
    <w:rsid w:val="00033386"/>
    <w:rsid w:val="00040587"/>
    <w:rsid w:val="0004185F"/>
    <w:rsid w:val="00043072"/>
    <w:rsid w:val="000452C0"/>
    <w:rsid w:val="00051B35"/>
    <w:rsid w:val="000543FF"/>
    <w:rsid w:val="0005675A"/>
    <w:rsid w:val="00063700"/>
    <w:rsid w:val="00064997"/>
    <w:rsid w:val="00070AEF"/>
    <w:rsid w:val="000725C5"/>
    <w:rsid w:val="000747BE"/>
    <w:rsid w:val="000759EF"/>
    <w:rsid w:val="00076547"/>
    <w:rsid w:val="000767C1"/>
    <w:rsid w:val="00077E5C"/>
    <w:rsid w:val="000853C7"/>
    <w:rsid w:val="0009045A"/>
    <w:rsid w:val="00090F95"/>
    <w:rsid w:val="00094E24"/>
    <w:rsid w:val="000A4113"/>
    <w:rsid w:val="000A4A7B"/>
    <w:rsid w:val="000B0369"/>
    <w:rsid w:val="000B7281"/>
    <w:rsid w:val="000C2AC0"/>
    <w:rsid w:val="000D1EA9"/>
    <w:rsid w:val="000E0567"/>
    <w:rsid w:val="000E539D"/>
    <w:rsid w:val="000E6E5F"/>
    <w:rsid w:val="000E7D8F"/>
    <w:rsid w:val="000F1EED"/>
    <w:rsid w:val="000F266F"/>
    <w:rsid w:val="000F2680"/>
    <w:rsid w:val="000F3FA1"/>
    <w:rsid w:val="000F5A01"/>
    <w:rsid w:val="0011077F"/>
    <w:rsid w:val="00120500"/>
    <w:rsid w:val="00131398"/>
    <w:rsid w:val="00131C05"/>
    <w:rsid w:val="00136456"/>
    <w:rsid w:val="001423C5"/>
    <w:rsid w:val="001424FD"/>
    <w:rsid w:val="0014400E"/>
    <w:rsid w:val="00144A59"/>
    <w:rsid w:val="0014582D"/>
    <w:rsid w:val="001539C8"/>
    <w:rsid w:val="00170B72"/>
    <w:rsid w:val="00177E5F"/>
    <w:rsid w:val="001807BB"/>
    <w:rsid w:val="00191492"/>
    <w:rsid w:val="00191716"/>
    <w:rsid w:val="00192B90"/>
    <w:rsid w:val="001A1508"/>
    <w:rsid w:val="001A2E02"/>
    <w:rsid w:val="001A6658"/>
    <w:rsid w:val="001A682E"/>
    <w:rsid w:val="001B0AA8"/>
    <w:rsid w:val="001C58C7"/>
    <w:rsid w:val="001D0993"/>
    <w:rsid w:val="001E2792"/>
    <w:rsid w:val="001E3DA3"/>
    <w:rsid w:val="001F35ED"/>
    <w:rsid w:val="00203904"/>
    <w:rsid w:val="00210755"/>
    <w:rsid w:val="002214ED"/>
    <w:rsid w:val="00224082"/>
    <w:rsid w:val="002262E7"/>
    <w:rsid w:val="002264FD"/>
    <w:rsid w:val="00231194"/>
    <w:rsid w:val="002311C4"/>
    <w:rsid w:val="00232FB9"/>
    <w:rsid w:val="00233E44"/>
    <w:rsid w:val="002350B7"/>
    <w:rsid w:val="00237437"/>
    <w:rsid w:val="00244D4C"/>
    <w:rsid w:val="002456C1"/>
    <w:rsid w:val="0025742B"/>
    <w:rsid w:val="00257ECD"/>
    <w:rsid w:val="0026283A"/>
    <w:rsid w:val="00264D2A"/>
    <w:rsid w:val="00265513"/>
    <w:rsid w:val="0027300A"/>
    <w:rsid w:val="00277E00"/>
    <w:rsid w:val="00285DFC"/>
    <w:rsid w:val="002A34E6"/>
    <w:rsid w:val="002B5D2B"/>
    <w:rsid w:val="002B703E"/>
    <w:rsid w:val="002B7F53"/>
    <w:rsid w:val="002C206A"/>
    <w:rsid w:val="002C3377"/>
    <w:rsid w:val="002C4695"/>
    <w:rsid w:val="002D2FC5"/>
    <w:rsid w:val="002D332F"/>
    <w:rsid w:val="002D455F"/>
    <w:rsid w:val="002E513A"/>
    <w:rsid w:val="002F063E"/>
    <w:rsid w:val="002F435B"/>
    <w:rsid w:val="002F5AA0"/>
    <w:rsid w:val="00301E17"/>
    <w:rsid w:val="00302E00"/>
    <w:rsid w:val="00305479"/>
    <w:rsid w:val="00306025"/>
    <w:rsid w:val="0031673A"/>
    <w:rsid w:val="00322EBB"/>
    <w:rsid w:val="00336035"/>
    <w:rsid w:val="0034191C"/>
    <w:rsid w:val="00350113"/>
    <w:rsid w:val="003540AD"/>
    <w:rsid w:val="003567B9"/>
    <w:rsid w:val="00356C90"/>
    <w:rsid w:val="00357082"/>
    <w:rsid w:val="00357973"/>
    <w:rsid w:val="00361963"/>
    <w:rsid w:val="003719A6"/>
    <w:rsid w:val="00374317"/>
    <w:rsid w:val="003771FA"/>
    <w:rsid w:val="00393406"/>
    <w:rsid w:val="00395A08"/>
    <w:rsid w:val="003A7A20"/>
    <w:rsid w:val="003B1DAC"/>
    <w:rsid w:val="003B75BE"/>
    <w:rsid w:val="003B7DBF"/>
    <w:rsid w:val="003C2791"/>
    <w:rsid w:val="003C389B"/>
    <w:rsid w:val="003C6A1D"/>
    <w:rsid w:val="003D0DDA"/>
    <w:rsid w:val="003D1A8F"/>
    <w:rsid w:val="003D795F"/>
    <w:rsid w:val="003E0DE7"/>
    <w:rsid w:val="003E336F"/>
    <w:rsid w:val="003F03B4"/>
    <w:rsid w:val="003F1852"/>
    <w:rsid w:val="003F3DF2"/>
    <w:rsid w:val="0040130C"/>
    <w:rsid w:val="00411249"/>
    <w:rsid w:val="00425690"/>
    <w:rsid w:val="004258AF"/>
    <w:rsid w:val="00426E8B"/>
    <w:rsid w:val="00430711"/>
    <w:rsid w:val="00432985"/>
    <w:rsid w:val="00433EDF"/>
    <w:rsid w:val="00441246"/>
    <w:rsid w:val="00453958"/>
    <w:rsid w:val="004638A7"/>
    <w:rsid w:val="0047253D"/>
    <w:rsid w:val="00473A5C"/>
    <w:rsid w:val="004743D5"/>
    <w:rsid w:val="0047461F"/>
    <w:rsid w:val="00476F5A"/>
    <w:rsid w:val="004778CA"/>
    <w:rsid w:val="0048384D"/>
    <w:rsid w:val="00491E2C"/>
    <w:rsid w:val="00495A70"/>
    <w:rsid w:val="004A29E5"/>
    <w:rsid w:val="004B2D5E"/>
    <w:rsid w:val="004B3104"/>
    <w:rsid w:val="004B3885"/>
    <w:rsid w:val="004B43A6"/>
    <w:rsid w:val="004C2809"/>
    <w:rsid w:val="004C3A97"/>
    <w:rsid w:val="004D1106"/>
    <w:rsid w:val="004D235E"/>
    <w:rsid w:val="004D6DFC"/>
    <w:rsid w:val="004E790D"/>
    <w:rsid w:val="004F0840"/>
    <w:rsid w:val="004F0C45"/>
    <w:rsid w:val="004F2549"/>
    <w:rsid w:val="004F5029"/>
    <w:rsid w:val="004F5C9E"/>
    <w:rsid w:val="004F6CFF"/>
    <w:rsid w:val="004F6EB2"/>
    <w:rsid w:val="00502928"/>
    <w:rsid w:val="0050418C"/>
    <w:rsid w:val="005048E8"/>
    <w:rsid w:val="00511CCF"/>
    <w:rsid w:val="00512D0D"/>
    <w:rsid w:val="00517144"/>
    <w:rsid w:val="00521085"/>
    <w:rsid w:val="005316ED"/>
    <w:rsid w:val="005343C2"/>
    <w:rsid w:val="0054351D"/>
    <w:rsid w:val="00543E59"/>
    <w:rsid w:val="00545781"/>
    <w:rsid w:val="00554D0A"/>
    <w:rsid w:val="00563918"/>
    <w:rsid w:val="00564F24"/>
    <w:rsid w:val="00571257"/>
    <w:rsid w:val="005732FB"/>
    <w:rsid w:val="005770BC"/>
    <w:rsid w:val="00577D77"/>
    <w:rsid w:val="00584826"/>
    <w:rsid w:val="0058498D"/>
    <w:rsid w:val="00594C60"/>
    <w:rsid w:val="00594FDB"/>
    <w:rsid w:val="005A0221"/>
    <w:rsid w:val="005A34D6"/>
    <w:rsid w:val="005B0E7C"/>
    <w:rsid w:val="005B1DFD"/>
    <w:rsid w:val="005B4A54"/>
    <w:rsid w:val="005C1C81"/>
    <w:rsid w:val="005C5E68"/>
    <w:rsid w:val="005C728D"/>
    <w:rsid w:val="005D0C21"/>
    <w:rsid w:val="005D58A8"/>
    <w:rsid w:val="005D6F6A"/>
    <w:rsid w:val="005E36C1"/>
    <w:rsid w:val="005E506A"/>
    <w:rsid w:val="005F11BE"/>
    <w:rsid w:val="005F5FA5"/>
    <w:rsid w:val="0060395F"/>
    <w:rsid w:val="00603C8C"/>
    <w:rsid w:val="00604A93"/>
    <w:rsid w:val="00622307"/>
    <w:rsid w:val="00624383"/>
    <w:rsid w:val="00627A2B"/>
    <w:rsid w:val="006346F1"/>
    <w:rsid w:val="00645F5E"/>
    <w:rsid w:val="0065556B"/>
    <w:rsid w:val="00657908"/>
    <w:rsid w:val="00664696"/>
    <w:rsid w:val="00666FA6"/>
    <w:rsid w:val="00686963"/>
    <w:rsid w:val="00695C7C"/>
    <w:rsid w:val="006A1C69"/>
    <w:rsid w:val="006A571C"/>
    <w:rsid w:val="006B0546"/>
    <w:rsid w:val="006B3484"/>
    <w:rsid w:val="006B5E15"/>
    <w:rsid w:val="006B6E76"/>
    <w:rsid w:val="006C2EA8"/>
    <w:rsid w:val="006C2F61"/>
    <w:rsid w:val="006D15FF"/>
    <w:rsid w:val="006D3BE8"/>
    <w:rsid w:val="006D3E1A"/>
    <w:rsid w:val="006D63F9"/>
    <w:rsid w:val="006D7090"/>
    <w:rsid w:val="006E35B3"/>
    <w:rsid w:val="006F47D7"/>
    <w:rsid w:val="006F4C30"/>
    <w:rsid w:val="006F6BF5"/>
    <w:rsid w:val="006F7B51"/>
    <w:rsid w:val="0071376E"/>
    <w:rsid w:val="00717265"/>
    <w:rsid w:val="00721A23"/>
    <w:rsid w:val="00725852"/>
    <w:rsid w:val="0073026A"/>
    <w:rsid w:val="007314DC"/>
    <w:rsid w:val="00731676"/>
    <w:rsid w:val="00731F4E"/>
    <w:rsid w:val="00737A3D"/>
    <w:rsid w:val="00743204"/>
    <w:rsid w:val="00744D3D"/>
    <w:rsid w:val="00745E22"/>
    <w:rsid w:val="00753244"/>
    <w:rsid w:val="0075462C"/>
    <w:rsid w:val="0075480F"/>
    <w:rsid w:val="00755CDE"/>
    <w:rsid w:val="0076552F"/>
    <w:rsid w:val="00766113"/>
    <w:rsid w:val="00771B11"/>
    <w:rsid w:val="00773CB8"/>
    <w:rsid w:val="00773DFA"/>
    <w:rsid w:val="00780483"/>
    <w:rsid w:val="0078101B"/>
    <w:rsid w:val="00781D26"/>
    <w:rsid w:val="0078462A"/>
    <w:rsid w:val="007863B0"/>
    <w:rsid w:val="007873E6"/>
    <w:rsid w:val="00790854"/>
    <w:rsid w:val="007A1D60"/>
    <w:rsid w:val="007A2157"/>
    <w:rsid w:val="007A3B20"/>
    <w:rsid w:val="007A5CD3"/>
    <w:rsid w:val="007A7D01"/>
    <w:rsid w:val="007B1798"/>
    <w:rsid w:val="007B3217"/>
    <w:rsid w:val="007B596F"/>
    <w:rsid w:val="007B6799"/>
    <w:rsid w:val="007C222B"/>
    <w:rsid w:val="007C6B6F"/>
    <w:rsid w:val="007C7A91"/>
    <w:rsid w:val="007C7DBC"/>
    <w:rsid w:val="007D1568"/>
    <w:rsid w:val="007D58E4"/>
    <w:rsid w:val="007E0E87"/>
    <w:rsid w:val="007E2CA0"/>
    <w:rsid w:val="007F1830"/>
    <w:rsid w:val="00802767"/>
    <w:rsid w:val="00804288"/>
    <w:rsid w:val="00804F1B"/>
    <w:rsid w:val="00814AE5"/>
    <w:rsid w:val="00815315"/>
    <w:rsid w:val="008215EA"/>
    <w:rsid w:val="00824E75"/>
    <w:rsid w:val="00824EF7"/>
    <w:rsid w:val="00827EA2"/>
    <w:rsid w:val="008328C6"/>
    <w:rsid w:val="00834381"/>
    <w:rsid w:val="00834914"/>
    <w:rsid w:val="008448D3"/>
    <w:rsid w:val="008457F1"/>
    <w:rsid w:val="00851777"/>
    <w:rsid w:val="008571F0"/>
    <w:rsid w:val="008571FF"/>
    <w:rsid w:val="00860B3A"/>
    <w:rsid w:val="00863E25"/>
    <w:rsid w:val="008647E1"/>
    <w:rsid w:val="00864DB9"/>
    <w:rsid w:val="00870482"/>
    <w:rsid w:val="008745E6"/>
    <w:rsid w:val="00876C12"/>
    <w:rsid w:val="00877340"/>
    <w:rsid w:val="00882A18"/>
    <w:rsid w:val="008846AF"/>
    <w:rsid w:val="00890000"/>
    <w:rsid w:val="00891068"/>
    <w:rsid w:val="00893203"/>
    <w:rsid w:val="00896FD6"/>
    <w:rsid w:val="008A28A8"/>
    <w:rsid w:val="008B1BBE"/>
    <w:rsid w:val="008B2020"/>
    <w:rsid w:val="008B21A3"/>
    <w:rsid w:val="008B3477"/>
    <w:rsid w:val="008B3ED8"/>
    <w:rsid w:val="008D6D35"/>
    <w:rsid w:val="008E4C25"/>
    <w:rsid w:val="008E7033"/>
    <w:rsid w:val="008F0489"/>
    <w:rsid w:val="008F32CC"/>
    <w:rsid w:val="008F49AE"/>
    <w:rsid w:val="00911262"/>
    <w:rsid w:val="00926451"/>
    <w:rsid w:val="00931CA4"/>
    <w:rsid w:val="00933928"/>
    <w:rsid w:val="00940693"/>
    <w:rsid w:val="00941EFA"/>
    <w:rsid w:val="009471D9"/>
    <w:rsid w:val="0096048D"/>
    <w:rsid w:val="00965FF1"/>
    <w:rsid w:val="00967B6D"/>
    <w:rsid w:val="00970025"/>
    <w:rsid w:val="00986AB1"/>
    <w:rsid w:val="00996BAB"/>
    <w:rsid w:val="00997EAA"/>
    <w:rsid w:val="009A2F02"/>
    <w:rsid w:val="009A3FF6"/>
    <w:rsid w:val="009B097F"/>
    <w:rsid w:val="009B57AD"/>
    <w:rsid w:val="009C034A"/>
    <w:rsid w:val="009C3699"/>
    <w:rsid w:val="009C391F"/>
    <w:rsid w:val="009C4A59"/>
    <w:rsid w:val="009C55FA"/>
    <w:rsid w:val="009C5C6E"/>
    <w:rsid w:val="009C733F"/>
    <w:rsid w:val="009D031D"/>
    <w:rsid w:val="009D0325"/>
    <w:rsid w:val="009D07BD"/>
    <w:rsid w:val="009D6D09"/>
    <w:rsid w:val="009E00E1"/>
    <w:rsid w:val="009F2128"/>
    <w:rsid w:val="009F2969"/>
    <w:rsid w:val="009F3610"/>
    <w:rsid w:val="009F520D"/>
    <w:rsid w:val="009F592C"/>
    <w:rsid w:val="00A04A5B"/>
    <w:rsid w:val="00A07602"/>
    <w:rsid w:val="00A12858"/>
    <w:rsid w:val="00A1391F"/>
    <w:rsid w:val="00A14293"/>
    <w:rsid w:val="00A14711"/>
    <w:rsid w:val="00A2161F"/>
    <w:rsid w:val="00A27F0F"/>
    <w:rsid w:val="00A42E52"/>
    <w:rsid w:val="00A43611"/>
    <w:rsid w:val="00A46559"/>
    <w:rsid w:val="00A523CB"/>
    <w:rsid w:val="00A539B5"/>
    <w:rsid w:val="00A61348"/>
    <w:rsid w:val="00A63A6B"/>
    <w:rsid w:val="00A64515"/>
    <w:rsid w:val="00A71FEB"/>
    <w:rsid w:val="00A73718"/>
    <w:rsid w:val="00A76508"/>
    <w:rsid w:val="00A76A8D"/>
    <w:rsid w:val="00A87AC8"/>
    <w:rsid w:val="00A90C24"/>
    <w:rsid w:val="00A93AB1"/>
    <w:rsid w:val="00A94169"/>
    <w:rsid w:val="00A94353"/>
    <w:rsid w:val="00A94BD8"/>
    <w:rsid w:val="00A95F4B"/>
    <w:rsid w:val="00A961BF"/>
    <w:rsid w:val="00AA082E"/>
    <w:rsid w:val="00AA1BDF"/>
    <w:rsid w:val="00AA5A0B"/>
    <w:rsid w:val="00AB082D"/>
    <w:rsid w:val="00AB0B2C"/>
    <w:rsid w:val="00AB2D0F"/>
    <w:rsid w:val="00AB72BC"/>
    <w:rsid w:val="00AE47BD"/>
    <w:rsid w:val="00AF3222"/>
    <w:rsid w:val="00AF7733"/>
    <w:rsid w:val="00B138E1"/>
    <w:rsid w:val="00B13A7F"/>
    <w:rsid w:val="00B17534"/>
    <w:rsid w:val="00B20DC7"/>
    <w:rsid w:val="00B2170F"/>
    <w:rsid w:val="00B2655F"/>
    <w:rsid w:val="00B309E0"/>
    <w:rsid w:val="00B33C6B"/>
    <w:rsid w:val="00B34434"/>
    <w:rsid w:val="00B3541C"/>
    <w:rsid w:val="00B359B7"/>
    <w:rsid w:val="00B400BB"/>
    <w:rsid w:val="00B40AB5"/>
    <w:rsid w:val="00B47497"/>
    <w:rsid w:val="00B50532"/>
    <w:rsid w:val="00B8091D"/>
    <w:rsid w:val="00B81DF4"/>
    <w:rsid w:val="00B94495"/>
    <w:rsid w:val="00B96095"/>
    <w:rsid w:val="00BA58F1"/>
    <w:rsid w:val="00BA7123"/>
    <w:rsid w:val="00BB0B88"/>
    <w:rsid w:val="00BB27B8"/>
    <w:rsid w:val="00BC0287"/>
    <w:rsid w:val="00BC6D27"/>
    <w:rsid w:val="00BD3E4A"/>
    <w:rsid w:val="00BE00BA"/>
    <w:rsid w:val="00BE07B4"/>
    <w:rsid w:val="00BE7406"/>
    <w:rsid w:val="00BE745D"/>
    <w:rsid w:val="00BF387A"/>
    <w:rsid w:val="00C01382"/>
    <w:rsid w:val="00C05A3D"/>
    <w:rsid w:val="00C06499"/>
    <w:rsid w:val="00C176CF"/>
    <w:rsid w:val="00C20D27"/>
    <w:rsid w:val="00C3066D"/>
    <w:rsid w:val="00C33520"/>
    <w:rsid w:val="00C425D1"/>
    <w:rsid w:val="00C43500"/>
    <w:rsid w:val="00C44673"/>
    <w:rsid w:val="00C46BCE"/>
    <w:rsid w:val="00C54253"/>
    <w:rsid w:val="00C6120D"/>
    <w:rsid w:val="00C633FB"/>
    <w:rsid w:val="00C63EB5"/>
    <w:rsid w:val="00C74CF8"/>
    <w:rsid w:val="00C77D15"/>
    <w:rsid w:val="00C81B7D"/>
    <w:rsid w:val="00C878D6"/>
    <w:rsid w:val="00C87E4E"/>
    <w:rsid w:val="00CA2AD2"/>
    <w:rsid w:val="00CA3022"/>
    <w:rsid w:val="00CB4493"/>
    <w:rsid w:val="00CB4F76"/>
    <w:rsid w:val="00CB61BC"/>
    <w:rsid w:val="00CC09E4"/>
    <w:rsid w:val="00CC6CB4"/>
    <w:rsid w:val="00CD0730"/>
    <w:rsid w:val="00CD5387"/>
    <w:rsid w:val="00CD633B"/>
    <w:rsid w:val="00CE7164"/>
    <w:rsid w:val="00CF3168"/>
    <w:rsid w:val="00CF4ACF"/>
    <w:rsid w:val="00CF70E7"/>
    <w:rsid w:val="00D02C3D"/>
    <w:rsid w:val="00D03562"/>
    <w:rsid w:val="00D03DD2"/>
    <w:rsid w:val="00D04CAF"/>
    <w:rsid w:val="00D05826"/>
    <w:rsid w:val="00D07414"/>
    <w:rsid w:val="00D1533B"/>
    <w:rsid w:val="00D169A9"/>
    <w:rsid w:val="00D21155"/>
    <w:rsid w:val="00D235C3"/>
    <w:rsid w:val="00D23E7F"/>
    <w:rsid w:val="00D2623A"/>
    <w:rsid w:val="00D27C9B"/>
    <w:rsid w:val="00D33EAB"/>
    <w:rsid w:val="00D42999"/>
    <w:rsid w:val="00D512AC"/>
    <w:rsid w:val="00D70061"/>
    <w:rsid w:val="00D71E78"/>
    <w:rsid w:val="00D82E9D"/>
    <w:rsid w:val="00D86E57"/>
    <w:rsid w:val="00D91639"/>
    <w:rsid w:val="00D92D01"/>
    <w:rsid w:val="00DA291F"/>
    <w:rsid w:val="00DA3A7C"/>
    <w:rsid w:val="00DA617C"/>
    <w:rsid w:val="00DA73F4"/>
    <w:rsid w:val="00DB264B"/>
    <w:rsid w:val="00DB46B1"/>
    <w:rsid w:val="00DB6088"/>
    <w:rsid w:val="00DC20DE"/>
    <w:rsid w:val="00DC282F"/>
    <w:rsid w:val="00DC42D1"/>
    <w:rsid w:val="00DC7D3C"/>
    <w:rsid w:val="00DD0FC4"/>
    <w:rsid w:val="00DD6488"/>
    <w:rsid w:val="00DE348D"/>
    <w:rsid w:val="00DE398B"/>
    <w:rsid w:val="00DF7A66"/>
    <w:rsid w:val="00E01434"/>
    <w:rsid w:val="00E02278"/>
    <w:rsid w:val="00E02D18"/>
    <w:rsid w:val="00E04015"/>
    <w:rsid w:val="00E11249"/>
    <w:rsid w:val="00E13C77"/>
    <w:rsid w:val="00E27740"/>
    <w:rsid w:val="00E32F1E"/>
    <w:rsid w:val="00E40720"/>
    <w:rsid w:val="00E448BD"/>
    <w:rsid w:val="00E5128B"/>
    <w:rsid w:val="00E56332"/>
    <w:rsid w:val="00E624B3"/>
    <w:rsid w:val="00E62CAA"/>
    <w:rsid w:val="00E65FCF"/>
    <w:rsid w:val="00E673CE"/>
    <w:rsid w:val="00E72501"/>
    <w:rsid w:val="00E821FD"/>
    <w:rsid w:val="00E837DB"/>
    <w:rsid w:val="00E86B9E"/>
    <w:rsid w:val="00E87D1F"/>
    <w:rsid w:val="00EA5640"/>
    <w:rsid w:val="00EA567C"/>
    <w:rsid w:val="00EA625A"/>
    <w:rsid w:val="00EB3382"/>
    <w:rsid w:val="00EB6497"/>
    <w:rsid w:val="00EC267A"/>
    <w:rsid w:val="00EC2F47"/>
    <w:rsid w:val="00EC471E"/>
    <w:rsid w:val="00EE6C16"/>
    <w:rsid w:val="00EF0861"/>
    <w:rsid w:val="00EF269B"/>
    <w:rsid w:val="00EF2D6E"/>
    <w:rsid w:val="00EF61A0"/>
    <w:rsid w:val="00F02CC5"/>
    <w:rsid w:val="00F05C7F"/>
    <w:rsid w:val="00F07C05"/>
    <w:rsid w:val="00F07F5C"/>
    <w:rsid w:val="00F11C2F"/>
    <w:rsid w:val="00F13E1C"/>
    <w:rsid w:val="00F13FD6"/>
    <w:rsid w:val="00F14258"/>
    <w:rsid w:val="00F16975"/>
    <w:rsid w:val="00F21028"/>
    <w:rsid w:val="00F22353"/>
    <w:rsid w:val="00F227BF"/>
    <w:rsid w:val="00F27D51"/>
    <w:rsid w:val="00F30BBB"/>
    <w:rsid w:val="00F531B7"/>
    <w:rsid w:val="00F56AA7"/>
    <w:rsid w:val="00F56B23"/>
    <w:rsid w:val="00F56E8C"/>
    <w:rsid w:val="00F613AA"/>
    <w:rsid w:val="00F62288"/>
    <w:rsid w:val="00F6614E"/>
    <w:rsid w:val="00F71EFD"/>
    <w:rsid w:val="00F72EBF"/>
    <w:rsid w:val="00F75248"/>
    <w:rsid w:val="00F808B2"/>
    <w:rsid w:val="00F84099"/>
    <w:rsid w:val="00F909ED"/>
    <w:rsid w:val="00F95F9F"/>
    <w:rsid w:val="00FA6CCA"/>
    <w:rsid w:val="00FB0F8F"/>
    <w:rsid w:val="00FB4D08"/>
    <w:rsid w:val="00FC275B"/>
    <w:rsid w:val="00FC3013"/>
    <w:rsid w:val="00FC58A4"/>
    <w:rsid w:val="00FD35A1"/>
    <w:rsid w:val="00FE4716"/>
    <w:rsid w:val="00FF0FBB"/>
    <w:rsid w:val="00FF249F"/>
    <w:rsid w:val="00FF252B"/>
    <w:rsid w:val="00FF2945"/>
    <w:rsid w:val="00FF3150"/>
    <w:rsid w:val="00FF31EA"/>
    <w:rsid w:val="00FF354E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B1A84"/>
  <w15:docId w15:val="{6E97B008-E255-48D4-A1D0-D23CC506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tabs>
        <w:tab w:val="clear" w:pos="2422"/>
        <w:tab w:val="num" w:pos="720"/>
      </w:tabs>
      <w:spacing w:after="160"/>
      <w:ind w:left="72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semiHidden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3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4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4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4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4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4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4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4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4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E65F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2-colore51">
    <w:name w:val="Tabella griglia 2 - colore 51"/>
    <w:basedOn w:val="Tabellanormale"/>
    <w:next w:val="Tabellagriglia2-colore52"/>
    <w:uiPriority w:val="47"/>
    <w:rsid w:val="00E65FC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lagriglia2-colore52">
    <w:name w:val="Tabella griglia 2 - colore 52"/>
    <w:basedOn w:val="Tabellanormale"/>
    <w:uiPriority w:val="47"/>
    <w:rsid w:val="00E65FCF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C222B"/>
    <w:rPr>
      <w:rFonts w:eastAsia="Times"/>
      <w:lang w:val="en-GB" w:eastAsia="en-US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71726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1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C6BF2DDDFDF344BD7AFCDFFC032C73" ma:contentTypeVersion="2" ma:contentTypeDescription="Creare un nuovo documento." ma:contentTypeScope="" ma:versionID="6a1219507bf30f4d485f6d901c6d9cf4">
  <xsd:schema xmlns:xsd="http://www.w3.org/2001/XMLSchema" xmlns:xs="http://www.w3.org/2001/XMLSchema" xmlns:p="http://schemas.microsoft.com/office/2006/metadata/properties" xmlns:ns2="e3d78454-d2df-439e-9d50-7859a71cb565" targetNamespace="http://schemas.microsoft.com/office/2006/metadata/properties" ma:root="true" ma:fieldsID="6751f241364a65cb673d10b7e5328f36" ns2:_="">
    <xsd:import namespace="e3d78454-d2df-439e-9d50-7859a71cb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78454-d2df-439e-9d50-7859a71cb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DAFA69-F1B9-492D-9862-F1E707AF8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E35FB-D23C-4835-AFA3-261EAC9B8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7B86E-67FE-47BA-AF2F-363697FA8C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CCE6B1-29F4-4B25-BC52-4567A4E7E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78454-d2df-439e-9d50-7859a71cb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6611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Emanuele Quercetti</cp:lastModifiedBy>
  <cp:revision>26</cp:revision>
  <cp:lastPrinted>2020-02-19T16:30:00Z</cp:lastPrinted>
  <dcterms:created xsi:type="dcterms:W3CDTF">2020-05-05T15:59:00Z</dcterms:created>
  <dcterms:modified xsi:type="dcterms:W3CDTF">2020-11-12T09:17:00Z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0x0101009FC6BF2DDDFDF344BD7AFCDFFC032C73</vt:lpwstr>
  </property>
</Properties>
</file>