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ABCBDED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D623CD">
        <w:rPr>
          <w:rFonts w:ascii="Garamond" w:hAnsi="Garamond"/>
          <w:b/>
          <w:sz w:val="26"/>
          <w:szCs w:val="26"/>
        </w:rPr>
        <w:t>TORRE SAN PATRIZIO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5B3EE2BF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2E0EAD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3E15105" w:rsidR="00115E21" w:rsidRDefault="002E0EA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2CC939CA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27DAC93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6C6F0D43" w:rsidR="00115E21" w:rsidRDefault="002E0EA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BF87E5D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259CD90D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532FD79C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07310E33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2ABF4379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6B1BC37F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5D2BE041" w:rsidR="00115E21" w:rsidRDefault="002E0EA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191FF23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D623CD">
        <w:rPr>
          <w:rFonts w:ascii="Garamond" w:hAnsi="Garamond"/>
          <w:lang w:eastAsia="en-GB"/>
        </w:rPr>
        <w:t>TORRE SAN PATRIZIO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124B508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3417E1">
        <w:rPr>
          <w:rFonts w:ascii="Garamond" w:hAnsi="Garamond"/>
          <w:sz w:val="24"/>
          <w:szCs w:val="24"/>
          <w:lang w:eastAsia="en-GB"/>
        </w:rPr>
        <w:t>Eco Elpidiense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6B29A445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</w:t>
      </w:r>
      <w:r w:rsidR="000E0498">
        <w:rPr>
          <w:rFonts w:ascii="Garamond" w:hAnsi="Garamond"/>
        </w:rPr>
        <w:t>, sulla base di quanto richiesto dall’Ente</w:t>
      </w:r>
      <w:r>
        <w:rPr>
          <w:rFonts w:ascii="Garamond" w:hAnsi="Garamond"/>
        </w:rPr>
        <w:t>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3335B9E3" w:rsidR="00415A4B" w:rsidRDefault="00BE15DB" w:rsidP="00415A4B">
      <w:pPr>
        <w:pStyle w:val="Default"/>
        <w:jc w:val="center"/>
        <w:rPr>
          <w:rFonts w:ascii="Garamond" w:hAnsi="Garamond"/>
        </w:rPr>
      </w:pPr>
      <w:r w:rsidRPr="00BE15DB">
        <w:drawing>
          <wp:inline distT="0" distB="0" distL="0" distR="0" wp14:anchorId="63F0B4C8" wp14:editId="39CAC6B4">
            <wp:extent cx="4137025" cy="1119505"/>
            <wp:effectExtent l="0" t="0" r="0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155FD150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D623CD">
        <w:rPr>
          <w:rFonts w:ascii="Garamond" w:hAnsi="Garamond"/>
        </w:rPr>
        <w:t>TORRE SAN PATRIZIO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067E315" w:rsidR="00E31C56" w:rsidRPr="00A94980" w:rsidRDefault="000E0498" w:rsidP="002D6BB5">
      <w:pPr>
        <w:jc w:val="center"/>
        <w:rPr>
          <w:rFonts w:ascii="Garamond" w:hAnsi="Garamond"/>
          <w:noProof/>
        </w:rPr>
      </w:pPr>
      <w:r w:rsidRPr="000E0498">
        <w:drawing>
          <wp:inline distT="0" distB="0" distL="0" distR="0" wp14:anchorId="4BC19455" wp14:editId="306AE88B">
            <wp:extent cx="4137025" cy="99758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BF9A8" w14:textId="77777777" w:rsidR="007C2964" w:rsidRDefault="007C2964" w:rsidP="00A0745C">
      <w:pPr>
        <w:rPr>
          <w:rFonts w:ascii="Garamond" w:hAnsi="Garamond"/>
          <w:noProof/>
        </w:rPr>
      </w:pPr>
    </w:p>
    <w:p w14:paraId="0A7BD89E" w14:textId="27DF1CAE" w:rsidR="00A33389" w:rsidRPr="00A94980" w:rsidRDefault="00A0745C" w:rsidP="00A0745C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t>Si precisa che il dato relativo al Told2019 (Pef 2019) è stato ricavato dalla deliberazione consiliare di approvazione del Pef. Nella deliberazione è riportato solamente l’importo complessivo del Piano senza il dettaglio delle componenti di costo fisso e variabile. Al tal fine, ATA ha operato la suddivisione tra costi fissi e variabili e tra costi di competenza del gestore e del Comune sulla base d</w:t>
      </w:r>
      <w:r w:rsidR="007C2964">
        <w:rPr>
          <w:rFonts w:ascii="Garamond" w:hAnsi="Garamond"/>
          <w:noProof/>
        </w:rPr>
        <w:t>el rapporto tra CF e CV nel Pef 2020, lo stesso dicasi per quantificare i costi di competenza del gestore e del Comune.</w:t>
      </w: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98A1A2C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7C2964">
        <w:rPr>
          <w:rFonts w:ascii="Garamond" w:hAnsi="Garamond"/>
        </w:rPr>
        <w:t>maggiore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3EEFA3BF" w14:textId="77777777" w:rsidR="00FD34B6" w:rsidRDefault="00FD34B6" w:rsidP="00FD34B6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ATA </w:t>
      </w:r>
      <w:r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721B0071" w14:textId="75B36463" w:rsidR="00FD34B6" w:rsidRDefault="00FD34B6" w:rsidP="00681990">
      <w:pPr>
        <w:jc w:val="center"/>
        <w:rPr>
          <w:noProof/>
        </w:rPr>
      </w:pPr>
    </w:p>
    <w:p w14:paraId="7E1F1628" w14:textId="1E1137C5" w:rsidR="007752DB" w:rsidRDefault="007752DB" w:rsidP="00681990">
      <w:pPr>
        <w:jc w:val="center"/>
        <w:rPr>
          <w:rFonts w:ascii="Garamond" w:hAnsi="Garamond"/>
        </w:rPr>
      </w:pPr>
      <w:r w:rsidRPr="007752DB">
        <w:lastRenderedPageBreak/>
        <w:drawing>
          <wp:inline distT="0" distB="0" distL="0" distR="0" wp14:anchorId="5F5C9799" wp14:editId="3163AC99">
            <wp:extent cx="5157382" cy="5354140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270" cy="535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B6A" w14:textId="76DC5DDB" w:rsidR="00C646D2" w:rsidRDefault="00C646D2" w:rsidP="00681990">
      <w:pPr>
        <w:jc w:val="center"/>
        <w:rPr>
          <w:rFonts w:ascii="Garamond" w:hAnsi="Garamond"/>
        </w:rPr>
      </w:pPr>
    </w:p>
    <w:p w14:paraId="7F099E47" w14:textId="2227677C" w:rsidR="00C646D2" w:rsidRDefault="00D93B46" w:rsidP="00681990">
      <w:pPr>
        <w:jc w:val="center"/>
        <w:rPr>
          <w:rFonts w:ascii="Garamond" w:hAnsi="Garamond"/>
        </w:rPr>
      </w:pPr>
      <w:r w:rsidRPr="00D93B46">
        <w:drawing>
          <wp:inline distT="0" distB="0" distL="0" distR="0" wp14:anchorId="2D330D43" wp14:editId="0FED6AD0">
            <wp:extent cx="4137025" cy="99758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69C7F15" w:rsidR="009B340F" w:rsidRDefault="00D93B46" w:rsidP="009F211E">
      <w:pPr>
        <w:jc w:val="center"/>
        <w:rPr>
          <w:rFonts w:ascii="Garamond" w:hAnsi="Garamond"/>
        </w:rPr>
      </w:pPr>
      <w:r w:rsidRPr="00D93B46">
        <w:lastRenderedPageBreak/>
        <w:drawing>
          <wp:inline distT="0" distB="0" distL="0" distR="0" wp14:anchorId="2F167C78" wp14:editId="79106FC3">
            <wp:extent cx="4137025" cy="836295"/>
            <wp:effectExtent l="0" t="0" r="0" b="190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B9BEBEB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</w:t>
      </w:r>
      <w:r w:rsidR="00207BD9">
        <w:rPr>
          <w:rFonts w:ascii="Garamond" w:hAnsi="Garamond"/>
        </w:rPr>
        <w:t>o</w:t>
      </w:r>
      <w:r w:rsidR="002632AB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4EB076F2" w:rsidR="008C23E6" w:rsidRDefault="00D93B46" w:rsidP="009F211E">
      <w:pPr>
        <w:jc w:val="center"/>
        <w:rPr>
          <w:rFonts w:ascii="Garamond" w:hAnsi="Garamond"/>
        </w:rPr>
      </w:pPr>
      <w:r w:rsidRPr="00D93B46">
        <w:drawing>
          <wp:inline distT="0" distB="0" distL="0" distR="0" wp14:anchorId="679A0920" wp14:editId="14BA6B3B">
            <wp:extent cx="4137025" cy="224917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14ACE72F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D623CD">
        <w:rPr>
          <w:rFonts w:ascii="Garamond" w:hAnsi="Garamond"/>
        </w:rPr>
        <w:t>TORRE SAN PATRIZIO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5C4B4B91" w14:textId="77777777" w:rsidR="0001203A" w:rsidRPr="00A94980" w:rsidRDefault="0001203A" w:rsidP="0001203A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2018.</w:t>
      </w:r>
    </w:p>
    <w:p w14:paraId="6B1916AF" w14:textId="6DFC90C2" w:rsidR="005E340F" w:rsidRPr="00A94980" w:rsidRDefault="0001203A" w:rsidP="0001203A">
      <w:pPr>
        <w:pStyle w:val="Default"/>
        <w:jc w:val="center"/>
        <w:rPr>
          <w:rFonts w:ascii="Garamond" w:hAnsi="Garamond"/>
          <w:noProof/>
        </w:rPr>
      </w:pPr>
      <w:r w:rsidRPr="0001203A">
        <w:rPr>
          <w:noProof/>
        </w:rPr>
        <w:lastRenderedPageBreak/>
        <w:drawing>
          <wp:inline distT="0" distB="0" distL="0" distR="0" wp14:anchorId="17645452" wp14:editId="53E0B13F">
            <wp:extent cx="2362200" cy="3077845"/>
            <wp:effectExtent l="0" t="0" r="0" b="825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033915DC" w:rsidR="00932A02" w:rsidRPr="00A94980" w:rsidRDefault="00932A02" w:rsidP="00F1186D">
      <w:pPr>
        <w:pStyle w:val="Default"/>
        <w:jc w:val="center"/>
        <w:rPr>
          <w:rFonts w:ascii="Garamond" w:hAnsi="Garamond"/>
        </w:rPr>
      </w:pPr>
    </w:p>
    <w:p w14:paraId="00A4C806" w14:textId="214C3F33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D623CD">
        <w:rPr>
          <w:rFonts w:ascii="Garamond" w:hAnsi="Garamond"/>
          <w:lang w:eastAsia="en-GB"/>
        </w:rPr>
        <w:t>TORRE SAN PATRIZIO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01203A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0AC4697C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484280" w:rsidRPr="00484280">
        <w:rPr>
          <w:noProof/>
        </w:rPr>
        <w:drawing>
          <wp:inline distT="0" distB="0" distL="0" distR="0" wp14:anchorId="571B0FEA" wp14:editId="309CCF2B">
            <wp:extent cx="5097145" cy="715645"/>
            <wp:effectExtent l="0" t="0" r="8255" b="825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0DB76FB4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B17309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61BBB71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B17309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67F2422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484280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B1F3F95" w:rsidR="00173AE7" w:rsidRPr="00B001AF" w:rsidRDefault="00EE15A0" w:rsidP="009A489D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EE15A0">
        <w:rPr>
          <w:noProof/>
        </w:rPr>
        <w:drawing>
          <wp:inline distT="0" distB="0" distL="0" distR="0" wp14:anchorId="5FCAA778" wp14:editId="53478DFF">
            <wp:extent cx="5608955" cy="55435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723712D4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62CD5B9D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EE15A0">
        <w:rPr>
          <w:rFonts w:ascii="Garamond" w:hAnsi="Garamond"/>
          <w:lang w:eastAsia="en-GB"/>
        </w:rPr>
        <w:t xml:space="preserve">massimi </w:t>
      </w:r>
      <w:r w:rsidR="003F17FA">
        <w:rPr>
          <w:rFonts w:ascii="Garamond" w:hAnsi="Garamond"/>
          <w:lang w:eastAsia="en-GB"/>
        </w:rPr>
        <w:t xml:space="preserve">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 xml:space="preserve">, in modo da </w:t>
      </w:r>
      <w:r w:rsidR="00EE15A0">
        <w:rPr>
          <w:rFonts w:ascii="Garamond" w:hAnsi="Garamond"/>
          <w:lang w:eastAsia="en-GB"/>
        </w:rPr>
        <w:t>calmierare l’aumento</w:t>
      </w:r>
      <w:r w:rsidR="00E073A0">
        <w:rPr>
          <w:rFonts w:ascii="Garamond" w:hAnsi="Garamond"/>
          <w:lang w:eastAsia="en-GB"/>
        </w:rPr>
        <w:t xml:space="preserve"> tariffari</w:t>
      </w:r>
      <w:r w:rsidR="00EE15A0">
        <w:rPr>
          <w:rFonts w:ascii="Garamond" w:hAnsi="Garamond"/>
          <w:lang w:eastAsia="en-GB"/>
        </w:rPr>
        <w:t xml:space="preserve">o </w:t>
      </w:r>
      <w:r w:rsidRPr="002861B4">
        <w:rPr>
          <w:rFonts w:ascii="Garamond" w:hAnsi="Garamond"/>
          <w:lang w:eastAsia="en-GB"/>
        </w:rPr>
        <w:t>rispetto all’anno 2019</w:t>
      </w:r>
      <w:r w:rsidR="00331081">
        <w:rPr>
          <w:rFonts w:ascii="Garamond" w:hAnsi="Garamond"/>
          <w:lang w:eastAsia="en-GB"/>
        </w:rPr>
        <w:t>, oltre che incentivare la valorizzazione della raccolta differenziata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0211034D" w:rsidR="00FD6EFF" w:rsidRDefault="00FD6EFF" w:rsidP="00FD6EFF">
      <w:pPr>
        <w:jc w:val="center"/>
        <w:rPr>
          <w:noProof/>
        </w:rPr>
      </w:pPr>
    </w:p>
    <w:p w14:paraId="61B846A9" w14:textId="0C93D4E4" w:rsidR="00C21DA3" w:rsidRDefault="00C21DA3" w:rsidP="00FD6EFF">
      <w:pPr>
        <w:jc w:val="center"/>
        <w:rPr>
          <w:noProof/>
        </w:rPr>
      </w:pPr>
      <w:r w:rsidRPr="00C21DA3">
        <w:lastRenderedPageBreak/>
        <w:drawing>
          <wp:inline distT="0" distB="0" distL="0" distR="0" wp14:anchorId="2749209E" wp14:editId="6170122A">
            <wp:extent cx="4161715" cy="7849101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753" cy="785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1DA3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D6BC" w14:textId="77777777" w:rsidR="00980274" w:rsidRDefault="00980274" w:rsidP="00393406">
      <w:r>
        <w:separator/>
      </w:r>
    </w:p>
  </w:endnote>
  <w:endnote w:type="continuationSeparator" w:id="0">
    <w:p w14:paraId="354D9403" w14:textId="77777777" w:rsidR="00980274" w:rsidRDefault="00980274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B17309" w:rsidRDefault="00B1730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B17309" w:rsidRDefault="00B1730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B17309" w:rsidRDefault="00B1730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4A59A1">
      <w:rPr>
        <w:noProof/>
        <w:lang w:val="it-IT"/>
      </w:rPr>
      <w:t>7</w:t>
    </w:r>
    <w:r>
      <w:fldChar w:fldCharType="end"/>
    </w:r>
  </w:p>
  <w:p w14:paraId="75B5D93D" w14:textId="77777777" w:rsidR="00B17309" w:rsidRDefault="00B1730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DDA8" w14:textId="77777777" w:rsidR="00980274" w:rsidRDefault="00980274" w:rsidP="00393406">
      <w:r>
        <w:separator/>
      </w:r>
    </w:p>
  </w:footnote>
  <w:footnote w:type="continuationSeparator" w:id="0">
    <w:p w14:paraId="1CD05BE0" w14:textId="77777777" w:rsidR="00980274" w:rsidRDefault="00980274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B17309" w:rsidRDefault="00B17309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B17309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B17309" w:rsidRPr="007811C2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B17309" w:rsidRDefault="00B17309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B17309" w:rsidRPr="007811C2" w:rsidRDefault="00B17309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216566AB" w14:textId="77777777" w:rsidR="00B17309" w:rsidRDefault="00B173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1203A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E0498"/>
    <w:rsid w:val="000E6984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07BD9"/>
    <w:rsid w:val="00210755"/>
    <w:rsid w:val="00214D4B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32AB"/>
    <w:rsid w:val="00265513"/>
    <w:rsid w:val="00275F3A"/>
    <w:rsid w:val="00276F03"/>
    <w:rsid w:val="00285DFC"/>
    <w:rsid w:val="002879E9"/>
    <w:rsid w:val="002B703E"/>
    <w:rsid w:val="002B7F53"/>
    <w:rsid w:val="002C11EE"/>
    <w:rsid w:val="002C206A"/>
    <w:rsid w:val="002C2ACB"/>
    <w:rsid w:val="002D2FC5"/>
    <w:rsid w:val="002D332F"/>
    <w:rsid w:val="002D455F"/>
    <w:rsid w:val="002D61C0"/>
    <w:rsid w:val="002D6BB5"/>
    <w:rsid w:val="002E0EAD"/>
    <w:rsid w:val="002E43B6"/>
    <w:rsid w:val="002E513A"/>
    <w:rsid w:val="002F063E"/>
    <w:rsid w:val="002F16B3"/>
    <w:rsid w:val="002F435B"/>
    <w:rsid w:val="002F5AA0"/>
    <w:rsid w:val="003003D3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1081"/>
    <w:rsid w:val="00336035"/>
    <w:rsid w:val="00337989"/>
    <w:rsid w:val="003417E1"/>
    <w:rsid w:val="0034191C"/>
    <w:rsid w:val="003540AD"/>
    <w:rsid w:val="00356C90"/>
    <w:rsid w:val="00357082"/>
    <w:rsid w:val="00357973"/>
    <w:rsid w:val="00361963"/>
    <w:rsid w:val="00365B54"/>
    <w:rsid w:val="00366B68"/>
    <w:rsid w:val="00371121"/>
    <w:rsid w:val="00374317"/>
    <w:rsid w:val="003771FA"/>
    <w:rsid w:val="003808D2"/>
    <w:rsid w:val="003824D8"/>
    <w:rsid w:val="00393406"/>
    <w:rsid w:val="003B64E7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84280"/>
    <w:rsid w:val="00491E2C"/>
    <w:rsid w:val="004A31BB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419B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94C79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67A0"/>
    <w:rsid w:val="0068199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26E7F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5AA7"/>
    <w:rsid w:val="00766113"/>
    <w:rsid w:val="00773DFA"/>
    <w:rsid w:val="007752DB"/>
    <w:rsid w:val="00781D26"/>
    <w:rsid w:val="00781E9A"/>
    <w:rsid w:val="007863B0"/>
    <w:rsid w:val="007873E6"/>
    <w:rsid w:val="00791376"/>
    <w:rsid w:val="00795CDB"/>
    <w:rsid w:val="007A2157"/>
    <w:rsid w:val="007A3B20"/>
    <w:rsid w:val="007A5CD3"/>
    <w:rsid w:val="007B3217"/>
    <w:rsid w:val="007B596F"/>
    <w:rsid w:val="007C2964"/>
    <w:rsid w:val="007C6F7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1074"/>
    <w:rsid w:val="00834381"/>
    <w:rsid w:val="00834914"/>
    <w:rsid w:val="00834F52"/>
    <w:rsid w:val="008378CE"/>
    <w:rsid w:val="008448D3"/>
    <w:rsid w:val="008457F1"/>
    <w:rsid w:val="008528CB"/>
    <w:rsid w:val="00852C6D"/>
    <w:rsid w:val="00854410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0274"/>
    <w:rsid w:val="00986AB1"/>
    <w:rsid w:val="009A2C4F"/>
    <w:rsid w:val="009A2F02"/>
    <w:rsid w:val="009A489D"/>
    <w:rsid w:val="009B097F"/>
    <w:rsid w:val="009B1656"/>
    <w:rsid w:val="009B2C63"/>
    <w:rsid w:val="009B340F"/>
    <w:rsid w:val="009B7098"/>
    <w:rsid w:val="009C3699"/>
    <w:rsid w:val="009C51D1"/>
    <w:rsid w:val="009F000F"/>
    <w:rsid w:val="009F211E"/>
    <w:rsid w:val="009F2128"/>
    <w:rsid w:val="009F2969"/>
    <w:rsid w:val="009F520D"/>
    <w:rsid w:val="00A04A5B"/>
    <w:rsid w:val="00A0745C"/>
    <w:rsid w:val="00A07602"/>
    <w:rsid w:val="00A10A9B"/>
    <w:rsid w:val="00A129C8"/>
    <w:rsid w:val="00A1391F"/>
    <w:rsid w:val="00A2161F"/>
    <w:rsid w:val="00A2343E"/>
    <w:rsid w:val="00A33389"/>
    <w:rsid w:val="00A35DAE"/>
    <w:rsid w:val="00A368BF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533E"/>
    <w:rsid w:val="00A76508"/>
    <w:rsid w:val="00A87AC8"/>
    <w:rsid w:val="00A90C24"/>
    <w:rsid w:val="00A94159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5A85"/>
    <w:rsid w:val="00AE622B"/>
    <w:rsid w:val="00AF47F1"/>
    <w:rsid w:val="00AF7733"/>
    <w:rsid w:val="00B001AF"/>
    <w:rsid w:val="00B025E1"/>
    <w:rsid w:val="00B12F0A"/>
    <w:rsid w:val="00B17309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15DB"/>
    <w:rsid w:val="00BE2E9C"/>
    <w:rsid w:val="00BE745D"/>
    <w:rsid w:val="00BF387A"/>
    <w:rsid w:val="00C01382"/>
    <w:rsid w:val="00C05A3D"/>
    <w:rsid w:val="00C06499"/>
    <w:rsid w:val="00C15D8F"/>
    <w:rsid w:val="00C176CF"/>
    <w:rsid w:val="00C21DA3"/>
    <w:rsid w:val="00C248F6"/>
    <w:rsid w:val="00C3066D"/>
    <w:rsid w:val="00C33520"/>
    <w:rsid w:val="00C425D1"/>
    <w:rsid w:val="00C44673"/>
    <w:rsid w:val="00C46BCE"/>
    <w:rsid w:val="00C54253"/>
    <w:rsid w:val="00C6061B"/>
    <w:rsid w:val="00C633FB"/>
    <w:rsid w:val="00C646D2"/>
    <w:rsid w:val="00C70778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6E5F"/>
    <w:rsid w:val="00D27C9B"/>
    <w:rsid w:val="00D42999"/>
    <w:rsid w:val="00D512AC"/>
    <w:rsid w:val="00D51ABB"/>
    <w:rsid w:val="00D569F2"/>
    <w:rsid w:val="00D60D0C"/>
    <w:rsid w:val="00D623CD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93B46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13D0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23FF"/>
    <w:rsid w:val="00E53488"/>
    <w:rsid w:val="00E57E67"/>
    <w:rsid w:val="00E624B3"/>
    <w:rsid w:val="00E648FF"/>
    <w:rsid w:val="00E667BA"/>
    <w:rsid w:val="00E673CE"/>
    <w:rsid w:val="00E709E9"/>
    <w:rsid w:val="00E72501"/>
    <w:rsid w:val="00E75DE3"/>
    <w:rsid w:val="00E837DB"/>
    <w:rsid w:val="00E87D1F"/>
    <w:rsid w:val="00E917A7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E15A0"/>
    <w:rsid w:val="00EE39F3"/>
    <w:rsid w:val="00EF0861"/>
    <w:rsid w:val="00EF1FE4"/>
    <w:rsid w:val="00EF2D6E"/>
    <w:rsid w:val="00EF612A"/>
    <w:rsid w:val="00F02CC5"/>
    <w:rsid w:val="00F05AB8"/>
    <w:rsid w:val="00F05C7F"/>
    <w:rsid w:val="00F0626F"/>
    <w:rsid w:val="00F1186D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34B6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9</Pages>
  <Words>1630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12177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198</cp:revision>
  <cp:lastPrinted>2014-03-04T11:43:00Z</cp:lastPrinted>
  <dcterms:created xsi:type="dcterms:W3CDTF">2020-12-05T13:58:00Z</dcterms:created>
  <dcterms:modified xsi:type="dcterms:W3CDTF">2021-05-08T15:22:00Z</dcterms:modified>
</cp:coreProperties>
</file>