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7423"/>
      </w:tblGrid>
      <w:tr w:rsidR="007A024B" w:rsidRPr="00703396" w14:paraId="53791DF2" w14:textId="77777777" w:rsidTr="007B7FAF">
        <w:tc>
          <w:tcPr>
            <w:tcW w:w="2235" w:type="dxa"/>
            <w:shd w:val="clear" w:color="auto" w:fill="auto"/>
            <w:vAlign w:val="center"/>
          </w:tcPr>
          <w:p w14:paraId="3A3D3B90" w14:textId="6F21377D" w:rsidR="007A024B" w:rsidRPr="00703396" w:rsidRDefault="000977D1" w:rsidP="007B7FAF">
            <w:pPr>
              <w:spacing w:line="276" w:lineRule="auto"/>
              <w:jc w:val="center"/>
              <w:rPr>
                <w:rFonts w:cstheme="minorHAnsi"/>
                <w:sz w:val="32"/>
              </w:rPr>
            </w:pPr>
            <w:r>
              <w:rPr>
                <w:rFonts w:cstheme="minorHAnsi"/>
                <w:noProof/>
                <w:sz w:val="32"/>
              </w:rPr>
              <w:drawing>
                <wp:anchor distT="0" distB="0" distL="114300" distR="114300" simplePos="0" relativeHeight="251658240" behindDoc="1" locked="0" layoutInCell="1" allowOverlap="1" wp14:anchorId="7294990A" wp14:editId="423370F4">
                  <wp:simplePos x="0" y="0"/>
                  <wp:positionH relativeFrom="column">
                    <wp:posOffset>52705</wp:posOffset>
                  </wp:positionH>
                  <wp:positionV relativeFrom="paragraph">
                    <wp:posOffset>8255</wp:posOffset>
                  </wp:positionV>
                  <wp:extent cx="1092200" cy="121285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2200" cy="1212850"/>
                          </a:xfrm>
                          <a:prstGeom prst="rect">
                            <a:avLst/>
                          </a:prstGeom>
                          <a:noFill/>
                        </pic:spPr>
                      </pic:pic>
                    </a:graphicData>
                  </a:graphic>
                  <wp14:sizeRelH relativeFrom="margin">
                    <wp14:pctWidth>0</wp14:pctWidth>
                  </wp14:sizeRelH>
                  <wp14:sizeRelV relativeFrom="margin">
                    <wp14:pctHeight>0</wp14:pctHeight>
                  </wp14:sizeRelV>
                </wp:anchor>
              </w:drawing>
            </w:r>
          </w:p>
        </w:tc>
        <w:tc>
          <w:tcPr>
            <w:tcW w:w="7507" w:type="dxa"/>
            <w:shd w:val="clear" w:color="auto" w:fill="auto"/>
          </w:tcPr>
          <w:p w14:paraId="5A22CAF1" w14:textId="6F4924AD" w:rsidR="007A024B" w:rsidRPr="00703396" w:rsidRDefault="007A024B" w:rsidP="007B7FAF">
            <w:pPr>
              <w:spacing w:line="276" w:lineRule="auto"/>
              <w:rPr>
                <w:rFonts w:cstheme="minorHAnsi"/>
                <w:b/>
                <w:sz w:val="44"/>
              </w:rPr>
            </w:pPr>
            <w:r w:rsidRPr="00703396">
              <w:rPr>
                <w:rFonts w:cstheme="minorHAnsi"/>
                <w:b/>
                <w:sz w:val="44"/>
              </w:rPr>
              <w:t xml:space="preserve">Comune di </w:t>
            </w:r>
            <w:r w:rsidR="000977D1">
              <w:rPr>
                <w:rFonts w:cstheme="minorHAnsi"/>
                <w:b/>
                <w:sz w:val="44"/>
              </w:rPr>
              <w:t>Altidona</w:t>
            </w:r>
          </w:p>
          <w:p w14:paraId="4681240D" w14:textId="77777777" w:rsidR="00EA25A3" w:rsidRPr="00703396" w:rsidRDefault="00EA25A3" w:rsidP="007B7FAF">
            <w:pPr>
              <w:spacing w:line="276" w:lineRule="auto"/>
              <w:rPr>
                <w:rFonts w:cstheme="minorHAnsi"/>
                <w:b/>
                <w:sz w:val="44"/>
              </w:rPr>
            </w:pPr>
          </w:p>
          <w:p w14:paraId="4F56E417" w14:textId="451A9A9D" w:rsidR="007A024B" w:rsidRPr="00703396" w:rsidRDefault="00F55391" w:rsidP="007B7FAF">
            <w:pPr>
              <w:spacing w:line="276" w:lineRule="auto"/>
              <w:rPr>
                <w:rFonts w:cstheme="minorHAnsi"/>
                <w:b/>
                <w:sz w:val="28"/>
                <w:szCs w:val="16"/>
              </w:rPr>
            </w:pPr>
            <w:r w:rsidRPr="00703396">
              <w:rPr>
                <w:rFonts w:cstheme="minorHAnsi"/>
                <w:b/>
                <w:sz w:val="28"/>
                <w:szCs w:val="16"/>
              </w:rPr>
              <w:t xml:space="preserve">Provincia di </w:t>
            </w:r>
            <w:r w:rsidR="000977D1">
              <w:rPr>
                <w:rFonts w:cstheme="minorHAnsi"/>
                <w:b/>
                <w:sz w:val="28"/>
                <w:szCs w:val="16"/>
              </w:rPr>
              <w:t>Fermo</w:t>
            </w:r>
          </w:p>
        </w:tc>
      </w:tr>
    </w:tbl>
    <w:p w14:paraId="687EB3B7" w14:textId="77777777" w:rsidR="007A024B" w:rsidRPr="00703396" w:rsidRDefault="007A024B" w:rsidP="007A024B">
      <w:pPr>
        <w:spacing w:line="276" w:lineRule="auto"/>
        <w:jc w:val="center"/>
        <w:rPr>
          <w:rFonts w:cstheme="minorHAnsi"/>
          <w:sz w:val="32"/>
        </w:rPr>
      </w:pPr>
    </w:p>
    <w:p w14:paraId="16F6867F" w14:textId="26DB509B" w:rsidR="007A024B" w:rsidRPr="00703396" w:rsidRDefault="007B632C" w:rsidP="00804551">
      <w:pPr>
        <w:spacing w:line="276" w:lineRule="auto"/>
        <w:jc w:val="center"/>
        <w:rPr>
          <w:rFonts w:cstheme="minorHAnsi"/>
          <w:sz w:val="32"/>
        </w:rPr>
      </w:pPr>
      <w:r w:rsidRPr="00703396">
        <w:rPr>
          <w:rFonts w:cstheme="minorHAnsi"/>
          <w:sz w:val="32"/>
          <w:highlight w:val="yellow"/>
        </w:rPr>
        <w:t xml:space="preserve">Area </w:t>
      </w:r>
      <w:r w:rsidR="00EA25A3" w:rsidRPr="00703396">
        <w:rPr>
          <w:rFonts w:cstheme="minorHAnsi"/>
          <w:sz w:val="32"/>
          <w:highlight w:val="yellow"/>
        </w:rPr>
        <w:t>………………….…..</w:t>
      </w:r>
    </w:p>
    <w:p w14:paraId="13C06515" w14:textId="77777777" w:rsidR="00804551" w:rsidRPr="00703396" w:rsidRDefault="00804551" w:rsidP="00804551">
      <w:pPr>
        <w:spacing w:line="276" w:lineRule="auto"/>
        <w:jc w:val="center"/>
        <w:rPr>
          <w:rFonts w:cstheme="minorHAnsi"/>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9406C" w:rsidRPr="00703396" w14:paraId="7E3E88B4" w14:textId="77777777" w:rsidTr="0019406C">
        <w:tc>
          <w:tcPr>
            <w:tcW w:w="9742" w:type="dxa"/>
            <w:tcBorders>
              <w:top w:val="single" w:sz="4" w:space="0" w:color="auto"/>
              <w:left w:val="single" w:sz="4" w:space="0" w:color="auto"/>
              <w:bottom w:val="single" w:sz="4" w:space="0" w:color="auto"/>
              <w:right w:val="single" w:sz="4" w:space="0" w:color="auto"/>
            </w:tcBorders>
            <w:hideMark/>
          </w:tcPr>
          <w:p w14:paraId="0055FFAF" w14:textId="2A008420" w:rsidR="0019406C" w:rsidRPr="00703396" w:rsidRDefault="0019406C">
            <w:pPr>
              <w:spacing w:line="276" w:lineRule="auto"/>
              <w:rPr>
                <w:rFonts w:cstheme="minorHAnsi"/>
                <w:sz w:val="28"/>
                <w:szCs w:val="20"/>
              </w:rPr>
            </w:pPr>
            <w:r w:rsidRPr="00703396">
              <w:rPr>
                <w:rFonts w:cstheme="minorHAnsi"/>
                <w:sz w:val="28"/>
                <w:szCs w:val="20"/>
              </w:rPr>
              <w:t xml:space="preserve">Allegato 2 alla Determinazione n. </w:t>
            </w:r>
            <w:r w:rsidRPr="00703396">
              <w:rPr>
                <w:rFonts w:cstheme="minorHAnsi"/>
                <w:sz w:val="28"/>
                <w:szCs w:val="20"/>
                <w:highlight w:val="yellow"/>
              </w:rPr>
              <w:t>…</w:t>
            </w:r>
            <w:r w:rsidRPr="00703396">
              <w:rPr>
                <w:rFonts w:cstheme="minorHAnsi"/>
                <w:sz w:val="28"/>
                <w:szCs w:val="20"/>
              </w:rPr>
              <w:t xml:space="preserve"> del </w:t>
            </w:r>
            <w:r w:rsidRPr="00703396">
              <w:rPr>
                <w:rFonts w:cstheme="minorHAnsi"/>
                <w:sz w:val="28"/>
                <w:szCs w:val="20"/>
                <w:highlight w:val="yellow"/>
              </w:rPr>
              <w:t>…</w:t>
            </w:r>
            <w:r w:rsidR="00F3169D" w:rsidRPr="00703396">
              <w:rPr>
                <w:rFonts w:cstheme="minorHAnsi"/>
                <w:sz w:val="28"/>
                <w:szCs w:val="20"/>
                <w:highlight w:val="yellow"/>
              </w:rPr>
              <w:t>/…/202</w:t>
            </w:r>
            <w:r w:rsidR="000977D1" w:rsidRPr="000977D1">
              <w:rPr>
                <w:rFonts w:cstheme="minorHAnsi"/>
                <w:sz w:val="28"/>
                <w:szCs w:val="20"/>
                <w:highlight w:val="yellow"/>
              </w:rPr>
              <w:t>2</w:t>
            </w:r>
          </w:p>
        </w:tc>
      </w:tr>
      <w:tr w:rsidR="0019406C" w:rsidRPr="00703396" w14:paraId="290BC52F" w14:textId="77777777" w:rsidTr="0019406C">
        <w:tc>
          <w:tcPr>
            <w:tcW w:w="9742" w:type="dxa"/>
            <w:tcBorders>
              <w:top w:val="single" w:sz="4" w:space="0" w:color="auto"/>
              <w:left w:val="single" w:sz="4" w:space="0" w:color="auto"/>
              <w:bottom w:val="single" w:sz="4" w:space="0" w:color="auto"/>
              <w:right w:val="single" w:sz="4" w:space="0" w:color="auto"/>
            </w:tcBorders>
            <w:hideMark/>
          </w:tcPr>
          <w:p w14:paraId="400F6112" w14:textId="2DB5664E" w:rsidR="0019406C" w:rsidRPr="00703396" w:rsidRDefault="0019406C">
            <w:pPr>
              <w:spacing w:line="276" w:lineRule="auto"/>
              <w:rPr>
                <w:rFonts w:cstheme="minorHAnsi"/>
                <w:sz w:val="28"/>
                <w:szCs w:val="20"/>
              </w:rPr>
            </w:pPr>
            <w:r w:rsidRPr="00703396">
              <w:rPr>
                <w:rFonts w:cstheme="minorHAnsi"/>
                <w:b/>
                <w:bCs/>
                <w:sz w:val="28"/>
                <w:szCs w:val="20"/>
              </w:rPr>
              <w:t>Oggetto</w:t>
            </w:r>
            <w:r w:rsidRPr="00703396">
              <w:rPr>
                <w:rFonts w:cstheme="minorHAnsi"/>
                <w:sz w:val="28"/>
                <w:szCs w:val="20"/>
              </w:rPr>
              <w:t>: PEF TARI 202</w:t>
            </w:r>
            <w:r w:rsidR="00B322CC" w:rsidRPr="00703396">
              <w:rPr>
                <w:rFonts w:cstheme="minorHAnsi"/>
                <w:sz w:val="28"/>
                <w:szCs w:val="20"/>
              </w:rPr>
              <w:t>2-2025</w:t>
            </w:r>
            <w:r w:rsidRPr="00703396">
              <w:rPr>
                <w:rFonts w:cstheme="minorHAnsi"/>
                <w:sz w:val="28"/>
                <w:szCs w:val="20"/>
              </w:rPr>
              <w:t xml:space="preserve"> – Relazione </w:t>
            </w:r>
            <w:r w:rsidR="00B322CC" w:rsidRPr="00703396">
              <w:rPr>
                <w:rFonts w:cstheme="minorHAnsi"/>
                <w:sz w:val="28"/>
                <w:szCs w:val="20"/>
              </w:rPr>
              <w:t>di accompagnamento (capitoli 2 e 3 di competenza del Gestore della Tariffa e Rapporto con gli Utenti</w:t>
            </w:r>
            <w:r w:rsidR="000977D1">
              <w:rPr>
                <w:rFonts w:cstheme="minorHAnsi"/>
                <w:sz w:val="28"/>
                <w:szCs w:val="20"/>
              </w:rPr>
              <w:t xml:space="preserve"> e dello spazzamento e lavaggio delle strade e del suolo pubblico</w:t>
            </w:r>
            <w:r w:rsidR="00B322CC" w:rsidRPr="00703396">
              <w:rPr>
                <w:rFonts w:cstheme="minorHAnsi"/>
                <w:sz w:val="28"/>
                <w:szCs w:val="20"/>
              </w:rPr>
              <w:t>)</w:t>
            </w:r>
          </w:p>
        </w:tc>
      </w:tr>
    </w:tbl>
    <w:p w14:paraId="2C400F09" w14:textId="77777777" w:rsidR="0019406C" w:rsidRPr="00703396" w:rsidRDefault="0019406C" w:rsidP="007A024B">
      <w:pPr>
        <w:spacing w:line="276" w:lineRule="auto"/>
        <w:rPr>
          <w:rFonts w:cstheme="minorHAnsi"/>
          <w:sz w:val="36"/>
        </w:rPr>
      </w:pPr>
    </w:p>
    <w:sdt>
      <w:sdtPr>
        <w:rPr>
          <w:rFonts w:asciiTheme="minorHAnsi" w:eastAsiaTheme="minorHAnsi" w:hAnsiTheme="minorHAnsi" w:cstheme="minorHAnsi"/>
          <w:b w:val="0"/>
          <w:bCs w:val="0"/>
          <w:color w:val="auto"/>
          <w:sz w:val="22"/>
          <w:szCs w:val="22"/>
          <w:lang w:eastAsia="en-US"/>
        </w:rPr>
        <w:id w:val="-1345705511"/>
        <w:docPartObj>
          <w:docPartGallery w:val="Table of Contents"/>
          <w:docPartUnique/>
        </w:docPartObj>
      </w:sdtPr>
      <w:sdtEndPr>
        <w:rPr>
          <w:sz w:val="24"/>
          <w:szCs w:val="24"/>
        </w:rPr>
      </w:sdtEndPr>
      <w:sdtContent>
        <w:p w14:paraId="4857E34C" w14:textId="77920BEE" w:rsidR="00E717B9" w:rsidRPr="00703396" w:rsidRDefault="00E717B9" w:rsidP="00B322CC">
          <w:pPr>
            <w:pStyle w:val="Titolosommario"/>
            <w:rPr>
              <w:rFonts w:asciiTheme="minorHAnsi" w:hAnsiTheme="minorHAnsi" w:cstheme="minorHAnsi"/>
            </w:rPr>
          </w:pPr>
          <w:r w:rsidRPr="00703396">
            <w:rPr>
              <w:rFonts w:asciiTheme="minorHAnsi" w:hAnsiTheme="minorHAnsi" w:cstheme="minorHAnsi"/>
            </w:rPr>
            <w:t>Indice</w:t>
          </w:r>
        </w:p>
        <w:p w14:paraId="6BA352BC" w14:textId="441BD5E2" w:rsidR="00B225FE" w:rsidRDefault="00E717B9">
          <w:pPr>
            <w:pStyle w:val="Sommario2"/>
            <w:rPr>
              <w:rFonts w:eastAsiaTheme="minorEastAsia"/>
              <w:lang w:val="en-NL" w:eastAsia="en-NL"/>
            </w:rPr>
          </w:pPr>
          <w:r w:rsidRPr="00703396">
            <w:rPr>
              <w:rFonts w:cstheme="minorHAnsi"/>
              <w:sz w:val="24"/>
              <w:szCs w:val="24"/>
            </w:rPr>
            <w:fldChar w:fldCharType="begin"/>
          </w:r>
          <w:r w:rsidRPr="00703396">
            <w:rPr>
              <w:rFonts w:cstheme="minorHAnsi"/>
              <w:sz w:val="24"/>
              <w:szCs w:val="24"/>
            </w:rPr>
            <w:instrText xml:space="preserve"> TOC \o "1-3" \h \z \u </w:instrText>
          </w:r>
          <w:r w:rsidRPr="00703396">
            <w:rPr>
              <w:rFonts w:cstheme="minorHAnsi"/>
              <w:sz w:val="24"/>
              <w:szCs w:val="24"/>
            </w:rPr>
            <w:fldChar w:fldCharType="separate"/>
          </w:r>
          <w:hyperlink w:anchor="_Toc101866048" w:history="1">
            <w:r w:rsidR="00B225FE" w:rsidRPr="00AD3FAC">
              <w:rPr>
                <w:rStyle w:val="Collegamentoipertestuale"/>
                <w:rFonts w:cstheme="minorHAnsi"/>
              </w:rPr>
              <w:t>Introduzione</w:t>
            </w:r>
            <w:r w:rsidR="00B225FE">
              <w:rPr>
                <w:webHidden/>
              </w:rPr>
              <w:tab/>
            </w:r>
            <w:r w:rsidR="00B225FE">
              <w:rPr>
                <w:webHidden/>
              </w:rPr>
              <w:fldChar w:fldCharType="begin"/>
            </w:r>
            <w:r w:rsidR="00B225FE">
              <w:rPr>
                <w:webHidden/>
              </w:rPr>
              <w:instrText xml:space="preserve"> PAGEREF _Toc101866048 \h </w:instrText>
            </w:r>
            <w:r w:rsidR="00B225FE">
              <w:rPr>
                <w:webHidden/>
              </w:rPr>
            </w:r>
            <w:r w:rsidR="00B225FE">
              <w:rPr>
                <w:webHidden/>
              </w:rPr>
              <w:fldChar w:fldCharType="separate"/>
            </w:r>
            <w:r w:rsidR="00B225FE">
              <w:rPr>
                <w:webHidden/>
              </w:rPr>
              <w:t>1</w:t>
            </w:r>
            <w:r w:rsidR="00B225FE">
              <w:rPr>
                <w:webHidden/>
              </w:rPr>
              <w:fldChar w:fldCharType="end"/>
            </w:r>
          </w:hyperlink>
        </w:p>
        <w:p w14:paraId="73A9DA9F" w14:textId="62CA0054" w:rsidR="00B225FE" w:rsidRDefault="00B225FE">
          <w:pPr>
            <w:pStyle w:val="Sommario1"/>
            <w:tabs>
              <w:tab w:val="right" w:leader="dot" w:pos="9628"/>
            </w:tabs>
            <w:rPr>
              <w:rFonts w:eastAsiaTheme="minorEastAsia"/>
              <w:noProof/>
              <w:lang w:val="en-NL" w:eastAsia="en-NL"/>
            </w:rPr>
          </w:pPr>
          <w:hyperlink w:anchor="_Toc101866049" w:history="1">
            <w:r w:rsidRPr="00AD3FAC">
              <w:rPr>
                <w:rStyle w:val="Collegamentoipertestuale"/>
                <w:rFonts w:cstheme="minorHAnsi"/>
                <w:noProof/>
              </w:rPr>
              <w:t>2. Descrizione dei servizi forniti</w:t>
            </w:r>
            <w:r>
              <w:rPr>
                <w:noProof/>
                <w:webHidden/>
              </w:rPr>
              <w:tab/>
            </w:r>
            <w:r>
              <w:rPr>
                <w:noProof/>
                <w:webHidden/>
              </w:rPr>
              <w:fldChar w:fldCharType="begin"/>
            </w:r>
            <w:r>
              <w:rPr>
                <w:noProof/>
                <w:webHidden/>
              </w:rPr>
              <w:instrText xml:space="preserve"> PAGEREF _Toc101866049 \h </w:instrText>
            </w:r>
            <w:r>
              <w:rPr>
                <w:noProof/>
                <w:webHidden/>
              </w:rPr>
            </w:r>
            <w:r>
              <w:rPr>
                <w:noProof/>
                <w:webHidden/>
              </w:rPr>
              <w:fldChar w:fldCharType="separate"/>
            </w:r>
            <w:r>
              <w:rPr>
                <w:noProof/>
                <w:webHidden/>
              </w:rPr>
              <w:t>2</w:t>
            </w:r>
            <w:r>
              <w:rPr>
                <w:noProof/>
                <w:webHidden/>
              </w:rPr>
              <w:fldChar w:fldCharType="end"/>
            </w:r>
          </w:hyperlink>
        </w:p>
        <w:p w14:paraId="56350E5B" w14:textId="67DFE3D4" w:rsidR="00B225FE" w:rsidRDefault="00B225FE">
          <w:pPr>
            <w:pStyle w:val="Sommario2"/>
            <w:rPr>
              <w:rFonts w:eastAsiaTheme="minorEastAsia"/>
              <w:lang w:val="en-NL" w:eastAsia="en-NL"/>
            </w:rPr>
          </w:pPr>
          <w:hyperlink w:anchor="_Toc101866050" w:history="1">
            <w:r w:rsidRPr="00AD3FAC">
              <w:rPr>
                <w:rStyle w:val="Collegamentoipertestuale"/>
                <w:rFonts w:cstheme="minorHAnsi"/>
              </w:rPr>
              <w:t>2.1 Perimetro della gestione e servizi forniti</w:t>
            </w:r>
            <w:r>
              <w:rPr>
                <w:webHidden/>
              </w:rPr>
              <w:tab/>
            </w:r>
            <w:r>
              <w:rPr>
                <w:webHidden/>
              </w:rPr>
              <w:fldChar w:fldCharType="begin"/>
            </w:r>
            <w:r>
              <w:rPr>
                <w:webHidden/>
              </w:rPr>
              <w:instrText xml:space="preserve"> PAGEREF _Toc101866050 \h </w:instrText>
            </w:r>
            <w:r>
              <w:rPr>
                <w:webHidden/>
              </w:rPr>
            </w:r>
            <w:r>
              <w:rPr>
                <w:webHidden/>
              </w:rPr>
              <w:fldChar w:fldCharType="separate"/>
            </w:r>
            <w:r>
              <w:rPr>
                <w:webHidden/>
              </w:rPr>
              <w:t>2</w:t>
            </w:r>
            <w:r>
              <w:rPr>
                <w:webHidden/>
              </w:rPr>
              <w:fldChar w:fldCharType="end"/>
            </w:r>
          </w:hyperlink>
        </w:p>
        <w:p w14:paraId="4C7497FE" w14:textId="52F5CF11" w:rsidR="00B225FE" w:rsidRDefault="00B225FE">
          <w:pPr>
            <w:pStyle w:val="Sommario3"/>
            <w:tabs>
              <w:tab w:val="right" w:leader="dot" w:pos="9628"/>
            </w:tabs>
            <w:rPr>
              <w:rFonts w:eastAsiaTheme="minorEastAsia"/>
              <w:noProof/>
              <w:lang w:val="en-NL" w:eastAsia="en-NL"/>
            </w:rPr>
          </w:pPr>
          <w:hyperlink w:anchor="_Toc101866051" w:history="1">
            <w:r w:rsidRPr="00AD3FAC">
              <w:rPr>
                <w:rStyle w:val="Collegamentoipertestuale"/>
                <w:rFonts w:cstheme="minorHAnsi"/>
                <w:noProof/>
              </w:rPr>
              <w:t>2.1.a Comuni serviti</w:t>
            </w:r>
            <w:r>
              <w:rPr>
                <w:noProof/>
                <w:webHidden/>
              </w:rPr>
              <w:tab/>
            </w:r>
            <w:r>
              <w:rPr>
                <w:noProof/>
                <w:webHidden/>
              </w:rPr>
              <w:fldChar w:fldCharType="begin"/>
            </w:r>
            <w:r>
              <w:rPr>
                <w:noProof/>
                <w:webHidden/>
              </w:rPr>
              <w:instrText xml:space="preserve"> PAGEREF _Toc101866051 \h </w:instrText>
            </w:r>
            <w:r>
              <w:rPr>
                <w:noProof/>
                <w:webHidden/>
              </w:rPr>
            </w:r>
            <w:r>
              <w:rPr>
                <w:noProof/>
                <w:webHidden/>
              </w:rPr>
              <w:fldChar w:fldCharType="separate"/>
            </w:r>
            <w:r>
              <w:rPr>
                <w:noProof/>
                <w:webHidden/>
              </w:rPr>
              <w:t>2</w:t>
            </w:r>
            <w:r>
              <w:rPr>
                <w:noProof/>
                <w:webHidden/>
              </w:rPr>
              <w:fldChar w:fldCharType="end"/>
            </w:r>
          </w:hyperlink>
        </w:p>
        <w:p w14:paraId="2FF7CA6F" w14:textId="47FF2CB5" w:rsidR="00B225FE" w:rsidRDefault="00B225FE">
          <w:pPr>
            <w:pStyle w:val="Sommario3"/>
            <w:tabs>
              <w:tab w:val="right" w:leader="dot" w:pos="9628"/>
            </w:tabs>
            <w:rPr>
              <w:rFonts w:eastAsiaTheme="minorEastAsia"/>
              <w:noProof/>
              <w:lang w:val="en-NL" w:eastAsia="en-NL"/>
            </w:rPr>
          </w:pPr>
          <w:hyperlink w:anchor="_Toc101866052" w:history="1">
            <w:r w:rsidRPr="00AD3FAC">
              <w:rPr>
                <w:rStyle w:val="Collegamentoipertestuale"/>
                <w:rFonts w:cstheme="minorHAnsi"/>
                <w:noProof/>
              </w:rPr>
              <w:t>2.1.b Modalità di erogazione del servizio di Gestione della Tariffa e Rapporto con gli Utenti</w:t>
            </w:r>
            <w:r>
              <w:rPr>
                <w:noProof/>
                <w:webHidden/>
              </w:rPr>
              <w:tab/>
            </w:r>
            <w:r>
              <w:rPr>
                <w:noProof/>
                <w:webHidden/>
              </w:rPr>
              <w:fldChar w:fldCharType="begin"/>
            </w:r>
            <w:r>
              <w:rPr>
                <w:noProof/>
                <w:webHidden/>
              </w:rPr>
              <w:instrText xml:space="preserve"> PAGEREF _Toc101866052 \h </w:instrText>
            </w:r>
            <w:r>
              <w:rPr>
                <w:noProof/>
                <w:webHidden/>
              </w:rPr>
            </w:r>
            <w:r>
              <w:rPr>
                <w:noProof/>
                <w:webHidden/>
              </w:rPr>
              <w:fldChar w:fldCharType="separate"/>
            </w:r>
            <w:r>
              <w:rPr>
                <w:noProof/>
                <w:webHidden/>
              </w:rPr>
              <w:t>2</w:t>
            </w:r>
            <w:r>
              <w:rPr>
                <w:noProof/>
                <w:webHidden/>
              </w:rPr>
              <w:fldChar w:fldCharType="end"/>
            </w:r>
          </w:hyperlink>
        </w:p>
        <w:p w14:paraId="501DD206" w14:textId="49D7498C" w:rsidR="00B225FE" w:rsidRDefault="00B225FE">
          <w:pPr>
            <w:pStyle w:val="Sommario3"/>
            <w:tabs>
              <w:tab w:val="right" w:leader="dot" w:pos="9628"/>
            </w:tabs>
            <w:rPr>
              <w:rFonts w:eastAsiaTheme="minorEastAsia"/>
              <w:noProof/>
              <w:lang w:val="en-NL" w:eastAsia="en-NL"/>
            </w:rPr>
          </w:pPr>
          <w:hyperlink w:anchor="_Toc101866053" w:history="1">
            <w:r w:rsidRPr="00AD3FAC">
              <w:rPr>
                <w:rStyle w:val="Collegamentoipertestuale"/>
                <w:rFonts w:cstheme="minorHAnsi"/>
                <w:noProof/>
              </w:rPr>
              <w:t>2.1.c Attività esterne</w:t>
            </w:r>
            <w:r>
              <w:rPr>
                <w:noProof/>
                <w:webHidden/>
              </w:rPr>
              <w:tab/>
            </w:r>
            <w:r>
              <w:rPr>
                <w:noProof/>
                <w:webHidden/>
              </w:rPr>
              <w:fldChar w:fldCharType="begin"/>
            </w:r>
            <w:r>
              <w:rPr>
                <w:noProof/>
                <w:webHidden/>
              </w:rPr>
              <w:instrText xml:space="preserve"> PAGEREF _Toc101866053 \h </w:instrText>
            </w:r>
            <w:r>
              <w:rPr>
                <w:noProof/>
                <w:webHidden/>
              </w:rPr>
            </w:r>
            <w:r>
              <w:rPr>
                <w:noProof/>
                <w:webHidden/>
              </w:rPr>
              <w:fldChar w:fldCharType="separate"/>
            </w:r>
            <w:r>
              <w:rPr>
                <w:noProof/>
                <w:webHidden/>
              </w:rPr>
              <w:t>3</w:t>
            </w:r>
            <w:r>
              <w:rPr>
                <w:noProof/>
                <w:webHidden/>
              </w:rPr>
              <w:fldChar w:fldCharType="end"/>
            </w:r>
          </w:hyperlink>
        </w:p>
        <w:p w14:paraId="230F17E2" w14:textId="33E26237" w:rsidR="00B225FE" w:rsidRDefault="00B225FE">
          <w:pPr>
            <w:pStyle w:val="Sommario2"/>
            <w:rPr>
              <w:rFonts w:eastAsiaTheme="minorEastAsia"/>
              <w:lang w:val="en-NL" w:eastAsia="en-NL"/>
            </w:rPr>
          </w:pPr>
          <w:hyperlink w:anchor="_Toc101866054" w:history="1">
            <w:r w:rsidRPr="00AD3FAC">
              <w:rPr>
                <w:rStyle w:val="Collegamentoipertestuale"/>
                <w:rFonts w:cstheme="minorHAnsi"/>
              </w:rPr>
              <w:t>2.2 Altre informazioni rilevanti</w:t>
            </w:r>
            <w:r>
              <w:rPr>
                <w:webHidden/>
              </w:rPr>
              <w:tab/>
            </w:r>
            <w:r>
              <w:rPr>
                <w:webHidden/>
              </w:rPr>
              <w:fldChar w:fldCharType="begin"/>
            </w:r>
            <w:r>
              <w:rPr>
                <w:webHidden/>
              </w:rPr>
              <w:instrText xml:space="preserve"> PAGEREF _Toc101866054 \h </w:instrText>
            </w:r>
            <w:r>
              <w:rPr>
                <w:webHidden/>
              </w:rPr>
            </w:r>
            <w:r>
              <w:rPr>
                <w:webHidden/>
              </w:rPr>
              <w:fldChar w:fldCharType="separate"/>
            </w:r>
            <w:r>
              <w:rPr>
                <w:webHidden/>
              </w:rPr>
              <w:t>3</w:t>
            </w:r>
            <w:r>
              <w:rPr>
                <w:webHidden/>
              </w:rPr>
              <w:fldChar w:fldCharType="end"/>
            </w:r>
          </w:hyperlink>
        </w:p>
        <w:p w14:paraId="1513FB91" w14:textId="51A26296" w:rsidR="00B225FE" w:rsidRDefault="00B225FE">
          <w:pPr>
            <w:pStyle w:val="Sommario1"/>
            <w:tabs>
              <w:tab w:val="right" w:leader="dot" w:pos="9628"/>
            </w:tabs>
            <w:rPr>
              <w:rFonts w:eastAsiaTheme="minorEastAsia"/>
              <w:noProof/>
              <w:lang w:val="en-NL" w:eastAsia="en-NL"/>
            </w:rPr>
          </w:pPr>
          <w:hyperlink w:anchor="_Toc101866055" w:history="1">
            <w:r w:rsidRPr="00AD3FAC">
              <w:rPr>
                <w:rStyle w:val="Collegamentoipertestuale"/>
                <w:rFonts w:cstheme="minorHAnsi"/>
                <w:noProof/>
              </w:rPr>
              <w:t>3. Dati relativi alla gestione dell'ambito tariffario</w:t>
            </w:r>
            <w:r>
              <w:rPr>
                <w:noProof/>
                <w:webHidden/>
              </w:rPr>
              <w:tab/>
            </w:r>
            <w:r>
              <w:rPr>
                <w:noProof/>
                <w:webHidden/>
              </w:rPr>
              <w:fldChar w:fldCharType="begin"/>
            </w:r>
            <w:r>
              <w:rPr>
                <w:noProof/>
                <w:webHidden/>
              </w:rPr>
              <w:instrText xml:space="preserve"> PAGEREF _Toc101866055 \h </w:instrText>
            </w:r>
            <w:r>
              <w:rPr>
                <w:noProof/>
                <w:webHidden/>
              </w:rPr>
            </w:r>
            <w:r>
              <w:rPr>
                <w:noProof/>
                <w:webHidden/>
              </w:rPr>
              <w:fldChar w:fldCharType="separate"/>
            </w:r>
            <w:r>
              <w:rPr>
                <w:noProof/>
                <w:webHidden/>
              </w:rPr>
              <w:t>5</w:t>
            </w:r>
            <w:r>
              <w:rPr>
                <w:noProof/>
                <w:webHidden/>
              </w:rPr>
              <w:fldChar w:fldCharType="end"/>
            </w:r>
          </w:hyperlink>
        </w:p>
        <w:p w14:paraId="3AA6A193" w14:textId="01748306" w:rsidR="00B225FE" w:rsidRDefault="00B225FE">
          <w:pPr>
            <w:pStyle w:val="Sommario2"/>
            <w:rPr>
              <w:rFonts w:eastAsiaTheme="minorEastAsia"/>
              <w:lang w:val="en-NL" w:eastAsia="en-NL"/>
            </w:rPr>
          </w:pPr>
          <w:hyperlink w:anchor="_Toc101866056" w:history="1">
            <w:r w:rsidRPr="00AD3FAC">
              <w:rPr>
                <w:rStyle w:val="Collegamentoipertestuale"/>
                <w:rFonts w:cstheme="minorHAnsi"/>
              </w:rPr>
              <w:t>3.1 Dati tecnici e patrimoniali</w:t>
            </w:r>
            <w:r>
              <w:rPr>
                <w:webHidden/>
              </w:rPr>
              <w:tab/>
            </w:r>
            <w:r>
              <w:rPr>
                <w:webHidden/>
              </w:rPr>
              <w:fldChar w:fldCharType="begin"/>
            </w:r>
            <w:r>
              <w:rPr>
                <w:webHidden/>
              </w:rPr>
              <w:instrText xml:space="preserve"> PAGEREF _Toc101866056 \h </w:instrText>
            </w:r>
            <w:r>
              <w:rPr>
                <w:webHidden/>
              </w:rPr>
            </w:r>
            <w:r>
              <w:rPr>
                <w:webHidden/>
              </w:rPr>
              <w:fldChar w:fldCharType="separate"/>
            </w:r>
            <w:r>
              <w:rPr>
                <w:webHidden/>
              </w:rPr>
              <w:t>5</w:t>
            </w:r>
            <w:r>
              <w:rPr>
                <w:webHidden/>
              </w:rPr>
              <w:fldChar w:fldCharType="end"/>
            </w:r>
          </w:hyperlink>
        </w:p>
        <w:p w14:paraId="25914B36" w14:textId="58776AE7" w:rsidR="00B225FE" w:rsidRDefault="00B225FE">
          <w:pPr>
            <w:pStyle w:val="Sommario3"/>
            <w:tabs>
              <w:tab w:val="right" w:leader="dot" w:pos="9628"/>
            </w:tabs>
            <w:rPr>
              <w:rFonts w:eastAsiaTheme="minorEastAsia"/>
              <w:noProof/>
              <w:lang w:val="en-NL" w:eastAsia="en-NL"/>
            </w:rPr>
          </w:pPr>
          <w:hyperlink w:anchor="_Toc101866057" w:history="1">
            <w:r w:rsidRPr="00AD3FAC">
              <w:rPr>
                <w:rStyle w:val="Collegamentoipertestuale"/>
                <w:rFonts w:cstheme="minorHAnsi"/>
                <w:noProof/>
              </w:rPr>
              <w:t>3.1.1 Dati sul territorio gestito e sull'affidamento</w:t>
            </w:r>
            <w:r>
              <w:rPr>
                <w:noProof/>
                <w:webHidden/>
              </w:rPr>
              <w:tab/>
            </w:r>
            <w:r>
              <w:rPr>
                <w:noProof/>
                <w:webHidden/>
              </w:rPr>
              <w:fldChar w:fldCharType="begin"/>
            </w:r>
            <w:r>
              <w:rPr>
                <w:noProof/>
                <w:webHidden/>
              </w:rPr>
              <w:instrText xml:space="preserve"> PAGEREF _Toc101866057 \h </w:instrText>
            </w:r>
            <w:r>
              <w:rPr>
                <w:noProof/>
                <w:webHidden/>
              </w:rPr>
            </w:r>
            <w:r>
              <w:rPr>
                <w:noProof/>
                <w:webHidden/>
              </w:rPr>
              <w:fldChar w:fldCharType="separate"/>
            </w:r>
            <w:r>
              <w:rPr>
                <w:noProof/>
                <w:webHidden/>
              </w:rPr>
              <w:t>5</w:t>
            </w:r>
            <w:r>
              <w:rPr>
                <w:noProof/>
                <w:webHidden/>
              </w:rPr>
              <w:fldChar w:fldCharType="end"/>
            </w:r>
          </w:hyperlink>
        </w:p>
        <w:p w14:paraId="51FF230B" w14:textId="5F8E96C6" w:rsidR="00B225FE" w:rsidRDefault="00B225FE">
          <w:pPr>
            <w:pStyle w:val="Sommario3"/>
            <w:tabs>
              <w:tab w:val="right" w:leader="dot" w:pos="9628"/>
            </w:tabs>
            <w:rPr>
              <w:rFonts w:eastAsiaTheme="minorEastAsia"/>
              <w:noProof/>
              <w:lang w:val="en-NL" w:eastAsia="en-NL"/>
            </w:rPr>
          </w:pPr>
          <w:hyperlink w:anchor="_Toc101866058" w:history="1">
            <w:r w:rsidRPr="00AD3FAC">
              <w:rPr>
                <w:rStyle w:val="Collegamentoipertestuale"/>
                <w:rFonts w:cstheme="minorHAnsi"/>
                <w:noProof/>
              </w:rPr>
              <w:t>3.1.2 Dati tecnici e di qualità</w:t>
            </w:r>
            <w:r>
              <w:rPr>
                <w:noProof/>
                <w:webHidden/>
              </w:rPr>
              <w:tab/>
            </w:r>
            <w:r>
              <w:rPr>
                <w:noProof/>
                <w:webHidden/>
              </w:rPr>
              <w:fldChar w:fldCharType="begin"/>
            </w:r>
            <w:r>
              <w:rPr>
                <w:noProof/>
                <w:webHidden/>
              </w:rPr>
              <w:instrText xml:space="preserve"> PAGEREF _Toc101866058 \h </w:instrText>
            </w:r>
            <w:r>
              <w:rPr>
                <w:noProof/>
                <w:webHidden/>
              </w:rPr>
            </w:r>
            <w:r>
              <w:rPr>
                <w:noProof/>
                <w:webHidden/>
              </w:rPr>
              <w:fldChar w:fldCharType="separate"/>
            </w:r>
            <w:r>
              <w:rPr>
                <w:noProof/>
                <w:webHidden/>
              </w:rPr>
              <w:t>5</w:t>
            </w:r>
            <w:r>
              <w:rPr>
                <w:noProof/>
                <w:webHidden/>
              </w:rPr>
              <w:fldChar w:fldCharType="end"/>
            </w:r>
          </w:hyperlink>
        </w:p>
        <w:p w14:paraId="43F04153" w14:textId="09529345" w:rsidR="00B225FE" w:rsidRDefault="00B225FE">
          <w:pPr>
            <w:pStyle w:val="Sommario3"/>
            <w:tabs>
              <w:tab w:val="right" w:leader="dot" w:pos="9628"/>
            </w:tabs>
            <w:rPr>
              <w:rFonts w:eastAsiaTheme="minorEastAsia"/>
              <w:noProof/>
              <w:lang w:val="en-NL" w:eastAsia="en-NL"/>
            </w:rPr>
          </w:pPr>
          <w:hyperlink w:anchor="_Toc101866059" w:history="1">
            <w:r w:rsidRPr="00AD3FAC">
              <w:rPr>
                <w:rStyle w:val="Collegamentoipertestuale"/>
                <w:rFonts w:cstheme="minorHAnsi"/>
                <w:noProof/>
              </w:rPr>
              <w:t>3.1.3 Fonti di finanziamento</w:t>
            </w:r>
            <w:r>
              <w:rPr>
                <w:noProof/>
                <w:webHidden/>
              </w:rPr>
              <w:tab/>
            </w:r>
            <w:r>
              <w:rPr>
                <w:noProof/>
                <w:webHidden/>
              </w:rPr>
              <w:fldChar w:fldCharType="begin"/>
            </w:r>
            <w:r>
              <w:rPr>
                <w:noProof/>
                <w:webHidden/>
              </w:rPr>
              <w:instrText xml:space="preserve"> PAGEREF _Toc101866059 \h </w:instrText>
            </w:r>
            <w:r>
              <w:rPr>
                <w:noProof/>
                <w:webHidden/>
              </w:rPr>
            </w:r>
            <w:r>
              <w:rPr>
                <w:noProof/>
                <w:webHidden/>
              </w:rPr>
              <w:fldChar w:fldCharType="separate"/>
            </w:r>
            <w:r>
              <w:rPr>
                <w:noProof/>
                <w:webHidden/>
              </w:rPr>
              <w:t>6</w:t>
            </w:r>
            <w:r>
              <w:rPr>
                <w:noProof/>
                <w:webHidden/>
              </w:rPr>
              <w:fldChar w:fldCharType="end"/>
            </w:r>
          </w:hyperlink>
        </w:p>
        <w:p w14:paraId="7306EF4E" w14:textId="60F9A0E7" w:rsidR="00B225FE" w:rsidRDefault="00B225FE">
          <w:pPr>
            <w:pStyle w:val="Sommario2"/>
            <w:rPr>
              <w:rFonts w:eastAsiaTheme="minorEastAsia"/>
              <w:lang w:val="en-NL" w:eastAsia="en-NL"/>
            </w:rPr>
          </w:pPr>
          <w:hyperlink w:anchor="_Toc101866060" w:history="1">
            <w:r w:rsidRPr="00AD3FAC">
              <w:rPr>
                <w:rStyle w:val="Collegamentoipertestuale"/>
                <w:rFonts w:cstheme="minorHAnsi"/>
              </w:rPr>
              <w:t>3.2 Dati per la determinazione delle entrate di riferimento</w:t>
            </w:r>
            <w:r>
              <w:rPr>
                <w:webHidden/>
              </w:rPr>
              <w:tab/>
            </w:r>
            <w:r>
              <w:rPr>
                <w:webHidden/>
              </w:rPr>
              <w:fldChar w:fldCharType="begin"/>
            </w:r>
            <w:r>
              <w:rPr>
                <w:webHidden/>
              </w:rPr>
              <w:instrText xml:space="preserve"> PAGEREF _Toc101866060 \h </w:instrText>
            </w:r>
            <w:r>
              <w:rPr>
                <w:webHidden/>
              </w:rPr>
            </w:r>
            <w:r>
              <w:rPr>
                <w:webHidden/>
              </w:rPr>
              <w:fldChar w:fldCharType="separate"/>
            </w:r>
            <w:r>
              <w:rPr>
                <w:webHidden/>
              </w:rPr>
              <w:t>6</w:t>
            </w:r>
            <w:r>
              <w:rPr>
                <w:webHidden/>
              </w:rPr>
              <w:fldChar w:fldCharType="end"/>
            </w:r>
          </w:hyperlink>
        </w:p>
        <w:p w14:paraId="6C178196" w14:textId="00A8B978" w:rsidR="00B225FE" w:rsidRDefault="00B225FE">
          <w:pPr>
            <w:pStyle w:val="Sommario3"/>
            <w:tabs>
              <w:tab w:val="right" w:leader="dot" w:pos="9628"/>
            </w:tabs>
            <w:rPr>
              <w:rFonts w:eastAsiaTheme="minorEastAsia"/>
              <w:noProof/>
              <w:lang w:val="en-NL" w:eastAsia="en-NL"/>
            </w:rPr>
          </w:pPr>
          <w:hyperlink w:anchor="_Toc101866061" w:history="1">
            <w:r w:rsidRPr="00AD3FAC">
              <w:rPr>
                <w:rStyle w:val="Collegamentoipertestuale"/>
                <w:rFonts w:cstheme="minorHAnsi"/>
                <w:noProof/>
              </w:rPr>
              <w:t>3.2.1 Dati di conto economico</w:t>
            </w:r>
            <w:r>
              <w:rPr>
                <w:noProof/>
                <w:webHidden/>
              </w:rPr>
              <w:tab/>
            </w:r>
            <w:r>
              <w:rPr>
                <w:noProof/>
                <w:webHidden/>
              </w:rPr>
              <w:fldChar w:fldCharType="begin"/>
            </w:r>
            <w:r>
              <w:rPr>
                <w:noProof/>
                <w:webHidden/>
              </w:rPr>
              <w:instrText xml:space="preserve"> PAGEREF _Toc101866061 \h </w:instrText>
            </w:r>
            <w:r>
              <w:rPr>
                <w:noProof/>
                <w:webHidden/>
              </w:rPr>
            </w:r>
            <w:r>
              <w:rPr>
                <w:noProof/>
                <w:webHidden/>
              </w:rPr>
              <w:fldChar w:fldCharType="separate"/>
            </w:r>
            <w:r>
              <w:rPr>
                <w:noProof/>
                <w:webHidden/>
              </w:rPr>
              <w:t>7</w:t>
            </w:r>
            <w:r>
              <w:rPr>
                <w:noProof/>
                <w:webHidden/>
              </w:rPr>
              <w:fldChar w:fldCharType="end"/>
            </w:r>
          </w:hyperlink>
        </w:p>
        <w:p w14:paraId="5CD35A3E" w14:textId="247E725B" w:rsidR="00B225FE" w:rsidRDefault="00B225FE">
          <w:pPr>
            <w:pStyle w:val="Sommario3"/>
            <w:tabs>
              <w:tab w:val="right" w:leader="dot" w:pos="9628"/>
            </w:tabs>
            <w:rPr>
              <w:rFonts w:eastAsiaTheme="minorEastAsia"/>
              <w:noProof/>
              <w:lang w:val="en-NL" w:eastAsia="en-NL"/>
            </w:rPr>
          </w:pPr>
          <w:hyperlink w:anchor="_Toc101866062" w:history="1">
            <w:r w:rsidRPr="00AD3FAC">
              <w:rPr>
                <w:rStyle w:val="Collegamentoipertestuale"/>
                <w:rFonts w:cstheme="minorHAnsi"/>
                <w:noProof/>
              </w:rPr>
              <w:t>3.2.2 Focus sugli altri ricavi</w:t>
            </w:r>
            <w:r>
              <w:rPr>
                <w:noProof/>
                <w:webHidden/>
              </w:rPr>
              <w:tab/>
            </w:r>
            <w:r>
              <w:rPr>
                <w:noProof/>
                <w:webHidden/>
              </w:rPr>
              <w:fldChar w:fldCharType="begin"/>
            </w:r>
            <w:r>
              <w:rPr>
                <w:noProof/>
                <w:webHidden/>
              </w:rPr>
              <w:instrText xml:space="preserve"> PAGEREF _Toc101866062 \h </w:instrText>
            </w:r>
            <w:r>
              <w:rPr>
                <w:noProof/>
                <w:webHidden/>
              </w:rPr>
            </w:r>
            <w:r>
              <w:rPr>
                <w:noProof/>
                <w:webHidden/>
              </w:rPr>
              <w:fldChar w:fldCharType="separate"/>
            </w:r>
            <w:r>
              <w:rPr>
                <w:noProof/>
                <w:webHidden/>
              </w:rPr>
              <w:t>10</w:t>
            </w:r>
            <w:r>
              <w:rPr>
                <w:noProof/>
                <w:webHidden/>
              </w:rPr>
              <w:fldChar w:fldCharType="end"/>
            </w:r>
          </w:hyperlink>
        </w:p>
        <w:p w14:paraId="3339D504" w14:textId="01189754" w:rsidR="00B225FE" w:rsidRDefault="00B225FE">
          <w:pPr>
            <w:pStyle w:val="Sommario3"/>
            <w:tabs>
              <w:tab w:val="right" w:leader="dot" w:pos="9628"/>
            </w:tabs>
            <w:rPr>
              <w:rFonts w:eastAsiaTheme="minorEastAsia"/>
              <w:noProof/>
              <w:lang w:val="en-NL" w:eastAsia="en-NL"/>
            </w:rPr>
          </w:pPr>
          <w:hyperlink w:anchor="_Toc101866063" w:history="1">
            <w:r w:rsidRPr="00AD3FAC">
              <w:rPr>
                <w:rStyle w:val="Collegamentoipertestuale"/>
                <w:rFonts w:cstheme="minorHAnsi"/>
                <w:noProof/>
              </w:rPr>
              <w:t>3.2.3 Componenti di costo previsionali</w:t>
            </w:r>
            <w:r>
              <w:rPr>
                <w:noProof/>
                <w:webHidden/>
              </w:rPr>
              <w:tab/>
            </w:r>
            <w:r>
              <w:rPr>
                <w:noProof/>
                <w:webHidden/>
              </w:rPr>
              <w:fldChar w:fldCharType="begin"/>
            </w:r>
            <w:r>
              <w:rPr>
                <w:noProof/>
                <w:webHidden/>
              </w:rPr>
              <w:instrText xml:space="preserve"> PAGEREF _Toc101866063 \h </w:instrText>
            </w:r>
            <w:r>
              <w:rPr>
                <w:noProof/>
                <w:webHidden/>
              </w:rPr>
            </w:r>
            <w:r>
              <w:rPr>
                <w:noProof/>
                <w:webHidden/>
              </w:rPr>
              <w:fldChar w:fldCharType="separate"/>
            </w:r>
            <w:r>
              <w:rPr>
                <w:noProof/>
                <w:webHidden/>
              </w:rPr>
              <w:t>10</w:t>
            </w:r>
            <w:r>
              <w:rPr>
                <w:noProof/>
                <w:webHidden/>
              </w:rPr>
              <w:fldChar w:fldCharType="end"/>
            </w:r>
          </w:hyperlink>
        </w:p>
        <w:p w14:paraId="4CADC1C9" w14:textId="1639DF4A" w:rsidR="00B225FE" w:rsidRDefault="00B225FE">
          <w:pPr>
            <w:pStyle w:val="Sommario3"/>
            <w:tabs>
              <w:tab w:val="right" w:leader="dot" w:pos="9628"/>
            </w:tabs>
            <w:rPr>
              <w:rFonts w:eastAsiaTheme="minorEastAsia"/>
              <w:noProof/>
              <w:lang w:val="en-NL" w:eastAsia="en-NL"/>
            </w:rPr>
          </w:pPr>
          <w:hyperlink w:anchor="_Toc101866064" w:history="1">
            <w:r w:rsidRPr="00AD3FAC">
              <w:rPr>
                <w:rStyle w:val="Collegamentoipertestuale"/>
                <w:rFonts w:cstheme="minorHAnsi"/>
                <w:noProof/>
              </w:rPr>
              <w:t>3.2.4 Investimenti</w:t>
            </w:r>
            <w:r>
              <w:rPr>
                <w:noProof/>
                <w:webHidden/>
              </w:rPr>
              <w:tab/>
            </w:r>
            <w:r>
              <w:rPr>
                <w:noProof/>
                <w:webHidden/>
              </w:rPr>
              <w:fldChar w:fldCharType="begin"/>
            </w:r>
            <w:r>
              <w:rPr>
                <w:noProof/>
                <w:webHidden/>
              </w:rPr>
              <w:instrText xml:space="preserve"> PAGEREF _Toc101866064 \h </w:instrText>
            </w:r>
            <w:r>
              <w:rPr>
                <w:noProof/>
                <w:webHidden/>
              </w:rPr>
            </w:r>
            <w:r>
              <w:rPr>
                <w:noProof/>
                <w:webHidden/>
              </w:rPr>
              <w:fldChar w:fldCharType="separate"/>
            </w:r>
            <w:r>
              <w:rPr>
                <w:noProof/>
                <w:webHidden/>
              </w:rPr>
              <w:t>10</w:t>
            </w:r>
            <w:r>
              <w:rPr>
                <w:noProof/>
                <w:webHidden/>
              </w:rPr>
              <w:fldChar w:fldCharType="end"/>
            </w:r>
          </w:hyperlink>
        </w:p>
        <w:p w14:paraId="40F012DD" w14:textId="4D6DBABC" w:rsidR="00B225FE" w:rsidRDefault="00B225FE">
          <w:pPr>
            <w:pStyle w:val="Sommario3"/>
            <w:tabs>
              <w:tab w:val="right" w:leader="dot" w:pos="9628"/>
            </w:tabs>
            <w:rPr>
              <w:rFonts w:eastAsiaTheme="minorEastAsia"/>
              <w:noProof/>
              <w:lang w:val="en-NL" w:eastAsia="en-NL"/>
            </w:rPr>
          </w:pPr>
          <w:hyperlink w:anchor="_Toc101866065" w:history="1">
            <w:r w:rsidRPr="00AD3FAC">
              <w:rPr>
                <w:rStyle w:val="Collegamentoipertestuale"/>
                <w:rFonts w:cstheme="minorHAnsi"/>
                <w:noProof/>
              </w:rPr>
              <w:t>3.2.5 Dati relativi ai costi di capitale</w:t>
            </w:r>
            <w:r>
              <w:rPr>
                <w:noProof/>
                <w:webHidden/>
              </w:rPr>
              <w:tab/>
            </w:r>
            <w:r>
              <w:rPr>
                <w:noProof/>
                <w:webHidden/>
              </w:rPr>
              <w:fldChar w:fldCharType="begin"/>
            </w:r>
            <w:r>
              <w:rPr>
                <w:noProof/>
                <w:webHidden/>
              </w:rPr>
              <w:instrText xml:space="preserve"> PAGEREF _Toc101866065 \h </w:instrText>
            </w:r>
            <w:r>
              <w:rPr>
                <w:noProof/>
                <w:webHidden/>
              </w:rPr>
            </w:r>
            <w:r>
              <w:rPr>
                <w:noProof/>
                <w:webHidden/>
              </w:rPr>
              <w:fldChar w:fldCharType="separate"/>
            </w:r>
            <w:r>
              <w:rPr>
                <w:noProof/>
                <w:webHidden/>
              </w:rPr>
              <w:t>10</w:t>
            </w:r>
            <w:r>
              <w:rPr>
                <w:noProof/>
                <w:webHidden/>
              </w:rPr>
              <w:fldChar w:fldCharType="end"/>
            </w:r>
          </w:hyperlink>
        </w:p>
        <w:p w14:paraId="0CD5AD14" w14:textId="55106FC4" w:rsidR="00E717B9" w:rsidRPr="00703396" w:rsidRDefault="00E717B9" w:rsidP="00E717B9">
          <w:pPr>
            <w:rPr>
              <w:rFonts w:cstheme="minorHAnsi"/>
              <w:sz w:val="24"/>
              <w:szCs w:val="24"/>
            </w:rPr>
          </w:pPr>
          <w:r w:rsidRPr="00703396">
            <w:rPr>
              <w:rFonts w:cstheme="minorHAnsi"/>
              <w:b/>
              <w:bCs/>
              <w:sz w:val="24"/>
              <w:szCs w:val="24"/>
            </w:rPr>
            <w:lastRenderedPageBreak/>
            <w:fldChar w:fldCharType="end"/>
          </w:r>
        </w:p>
      </w:sdtContent>
    </w:sdt>
    <w:p w14:paraId="7C5D8631" w14:textId="77777777" w:rsidR="00E717B9" w:rsidRPr="00703396" w:rsidRDefault="00E717B9" w:rsidP="00E717B9">
      <w:pPr>
        <w:rPr>
          <w:rFonts w:cstheme="minorHAnsi"/>
          <w:b/>
          <w:bCs/>
          <w:i/>
          <w:iCs/>
          <w:sz w:val="28"/>
          <w:szCs w:val="28"/>
        </w:rPr>
        <w:sectPr w:rsidR="00E717B9" w:rsidRPr="00703396" w:rsidSect="0031567B">
          <w:footerReference w:type="default" r:id="rId9"/>
          <w:pgSz w:w="11906" w:h="16838"/>
          <w:pgMar w:top="1417" w:right="1134" w:bottom="1134" w:left="1134" w:header="708" w:footer="708" w:gutter="0"/>
          <w:pgNumType w:start="1"/>
          <w:cols w:space="708"/>
          <w:docGrid w:linePitch="360"/>
        </w:sectPr>
      </w:pPr>
    </w:p>
    <w:p w14:paraId="23D9EF26" w14:textId="6CCBDB67" w:rsidR="00E717B9" w:rsidRPr="00703396" w:rsidRDefault="00E717B9" w:rsidP="00BF1188">
      <w:pPr>
        <w:pStyle w:val="Titolo2"/>
        <w:rPr>
          <w:rFonts w:asciiTheme="minorHAnsi" w:hAnsiTheme="minorHAnsi" w:cstheme="minorHAnsi"/>
        </w:rPr>
      </w:pPr>
      <w:bookmarkStart w:id="0" w:name="_Toc101866048"/>
      <w:r w:rsidRPr="00703396">
        <w:rPr>
          <w:rFonts w:asciiTheme="minorHAnsi" w:hAnsiTheme="minorHAnsi" w:cstheme="minorHAnsi"/>
        </w:rPr>
        <w:lastRenderedPageBreak/>
        <w:t>Introduzione</w:t>
      </w:r>
      <w:bookmarkEnd w:id="0"/>
    </w:p>
    <w:p w14:paraId="581BBE74" w14:textId="0F8452BF" w:rsidR="00B322CC" w:rsidRPr="00703396" w:rsidRDefault="00B322CC" w:rsidP="00EF782C">
      <w:pPr>
        <w:jc w:val="both"/>
        <w:rPr>
          <w:rFonts w:cstheme="minorHAnsi"/>
          <w:sz w:val="24"/>
          <w:szCs w:val="24"/>
          <w:lang w:eastAsia="it-IT"/>
        </w:rPr>
      </w:pPr>
      <w:r w:rsidRPr="00703396">
        <w:rPr>
          <w:rFonts w:cstheme="minorHAnsi"/>
          <w:sz w:val="24"/>
          <w:szCs w:val="24"/>
          <w:lang w:eastAsia="it-IT"/>
        </w:rPr>
        <w:t>Con Deliberazione 363/2021/R/Rif, ARERA ha disposto all'articolo 27.4:</w:t>
      </w:r>
    </w:p>
    <w:p w14:paraId="077BB453" w14:textId="77777777" w:rsidR="00B322CC" w:rsidRPr="00703396" w:rsidRDefault="00B322CC" w:rsidP="00EF782C">
      <w:pPr>
        <w:jc w:val="both"/>
        <w:rPr>
          <w:rFonts w:cstheme="minorHAnsi"/>
          <w:i/>
          <w:iCs/>
          <w:sz w:val="24"/>
          <w:szCs w:val="24"/>
          <w:lang w:eastAsia="it-IT"/>
        </w:rPr>
      </w:pPr>
      <w:r w:rsidRPr="00703396">
        <w:rPr>
          <w:rFonts w:cstheme="minorHAnsi"/>
          <w:sz w:val="24"/>
          <w:szCs w:val="24"/>
          <w:lang w:eastAsia="it-IT"/>
        </w:rPr>
        <w:t>"</w:t>
      </w:r>
      <w:r w:rsidRPr="00703396">
        <w:rPr>
          <w:rFonts w:cstheme="minorHAnsi"/>
          <w:i/>
          <w:iCs/>
          <w:sz w:val="24"/>
          <w:szCs w:val="24"/>
          <w:lang w:eastAsia="it-IT"/>
        </w:rPr>
        <w:t>Il PEF deve, altresì, includere una tabella, corredata dalla relazione di accompagnamento e dalla dichiarazione di veridicità (da redigere secondo schemi tipizzati, resi disponibili dall’Autorità con successivo provvedimento), che riporta in particolare:</w:t>
      </w:r>
    </w:p>
    <w:p w14:paraId="2FC17B31" w14:textId="77777777" w:rsidR="00B322CC" w:rsidRPr="00703396" w:rsidRDefault="00B322CC" w:rsidP="00EF782C">
      <w:pPr>
        <w:jc w:val="both"/>
        <w:rPr>
          <w:rFonts w:cstheme="minorHAnsi"/>
          <w:i/>
          <w:iCs/>
          <w:sz w:val="24"/>
          <w:szCs w:val="24"/>
          <w:lang w:eastAsia="it-IT"/>
        </w:rPr>
      </w:pPr>
      <w:r w:rsidRPr="00703396">
        <w:rPr>
          <w:rFonts w:cstheme="minorHAnsi"/>
          <w:i/>
          <w:iCs/>
          <w:sz w:val="24"/>
          <w:szCs w:val="24"/>
          <w:lang w:eastAsia="it-IT"/>
        </w:rPr>
        <w:t xml:space="preserve">• per ciascun </w:t>
      </w:r>
      <w:r w:rsidRPr="00703396">
        <w:rPr>
          <w:rFonts w:ascii="Cambria Math" w:hAnsi="Cambria Math" w:cs="Cambria Math"/>
          <w:i/>
          <w:iCs/>
          <w:sz w:val="24"/>
          <w:szCs w:val="24"/>
          <w:lang w:eastAsia="it-IT"/>
        </w:rPr>
        <w:t>𝑎</w:t>
      </w:r>
      <w:r w:rsidRPr="00703396">
        <w:rPr>
          <w:rFonts w:cstheme="minorHAnsi"/>
          <w:i/>
          <w:iCs/>
          <w:sz w:val="24"/>
          <w:szCs w:val="24"/>
          <w:lang w:eastAsia="it-IT"/>
        </w:rPr>
        <w:t xml:space="preserve"> = {2022,2023,2024,2025}, l’indicazione delle componenti dei costi operativi, dei costi d’uso del capitale e delle voci di conguaglio, valorizzate secondo i criteri illustrati nel presente provvedimento;</w:t>
      </w:r>
    </w:p>
    <w:p w14:paraId="2C9FD2A1" w14:textId="77777777" w:rsidR="00B322CC" w:rsidRPr="00703396" w:rsidRDefault="00B322CC" w:rsidP="00EF782C">
      <w:pPr>
        <w:jc w:val="both"/>
        <w:rPr>
          <w:rFonts w:cstheme="minorHAnsi"/>
          <w:i/>
          <w:iCs/>
          <w:sz w:val="24"/>
          <w:szCs w:val="24"/>
          <w:lang w:eastAsia="it-IT"/>
        </w:rPr>
      </w:pPr>
      <w:r w:rsidRPr="00703396">
        <w:rPr>
          <w:rFonts w:cstheme="minorHAnsi"/>
          <w:i/>
          <w:iCs/>
          <w:sz w:val="24"/>
          <w:szCs w:val="24"/>
          <w:lang w:eastAsia="it-IT"/>
        </w:rPr>
        <w:t>• l’ammontare dei conguagli residui approvati dall’Ente territorialmente competente e il cui recupero è rinviato successivamente al 2025;</w:t>
      </w:r>
    </w:p>
    <w:p w14:paraId="62672CF8" w14:textId="0B3A28E4" w:rsidR="00B322CC" w:rsidRPr="00703396" w:rsidRDefault="00B322CC" w:rsidP="00EF782C">
      <w:pPr>
        <w:jc w:val="both"/>
        <w:rPr>
          <w:rFonts w:cstheme="minorHAnsi"/>
          <w:sz w:val="24"/>
          <w:szCs w:val="24"/>
          <w:lang w:eastAsia="it-IT"/>
        </w:rPr>
      </w:pPr>
      <w:r w:rsidRPr="00703396">
        <w:rPr>
          <w:rFonts w:cstheme="minorHAnsi"/>
          <w:i/>
          <w:iCs/>
          <w:sz w:val="24"/>
          <w:szCs w:val="24"/>
          <w:lang w:eastAsia="it-IT"/>
        </w:rPr>
        <w:t>• gli oneri relativi all’IVA e alle imposte, di cui dare separata evidenza</w:t>
      </w:r>
      <w:r w:rsidRPr="00703396">
        <w:rPr>
          <w:rFonts w:cstheme="minorHAnsi"/>
          <w:sz w:val="24"/>
          <w:szCs w:val="24"/>
          <w:lang w:eastAsia="it-IT"/>
        </w:rPr>
        <w:t>".</w:t>
      </w:r>
    </w:p>
    <w:p w14:paraId="21EDF422" w14:textId="221E1673" w:rsidR="00B322CC" w:rsidRPr="00703396" w:rsidRDefault="00B322CC" w:rsidP="00EF782C">
      <w:pPr>
        <w:jc w:val="both"/>
        <w:rPr>
          <w:rFonts w:cstheme="minorHAnsi"/>
          <w:sz w:val="24"/>
          <w:szCs w:val="24"/>
          <w:lang w:eastAsia="it-IT"/>
        </w:rPr>
      </w:pPr>
      <w:r w:rsidRPr="00703396">
        <w:rPr>
          <w:rFonts w:cstheme="minorHAnsi"/>
          <w:sz w:val="24"/>
          <w:szCs w:val="24"/>
          <w:lang w:eastAsia="it-IT"/>
        </w:rPr>
        <w:t>Successivamente con Determina 4 novembre 2021, 2/2021 - DRIF, la stessa Autorità ha emanato lo schema di relazione di accompagnamento composta da cinque capitoli, alcuni da redigersi a cura dell’Ente territorialmente competente ovvero del soggetto delegato allo svolgimento dell’attività di validazione (capitoli 1,4 e 5), altri a cura del/i gestore/i (capitoli 2 e 3).</w:t>
      </w:r>
    </w:p>
    <w:p w14:paraId="7319BA09" w14:textId="4D7F65C1" w:rsidR="00B322CC" w:rsidRPr="00703396" w:rsidRDefault="00B322CC" w:rsidP="00EF782C">
      <w:pPr>
        <w:jc w:val="both"/>
        <w:rPr>
          <w:rFonts w:cstheme="minorHAnsi"/>
          <w:sz w:val="24"/>
          <w:szCs w:val="24"/>
          <w:lang w:eastAsia="it-IT"/>
        </w:rPr>
      </w:pPr>
      <w:r w:rsidRPr="00703396">
        <w:rPr>
          <w:rFonts w:cstheme="minorHAnsi"/>
          <w:sz w:val="24"/>
          <w:szCs w:val="24"/>
          <w:lang w:eastAsia="it-IT"/>
        </w:rPr>
        <w:t xml:space="preserve">Le informazioni, i dati e le valutazioni da inserire nei vari capitoli devono coprire l’intero orizzonte temporale del secondo periodo regolatorio (anni 2022-2025). Per quanto attiene al Comune di </w:t>
      </w:r>
      <w:r w:rsidR="001A224D">
        <w:rPr>
          <w:rFonts w:cstheme="minorHAnsi"/>
          <w:sz w:val="24"/>
          <w:szCs w:val="24"/>
          <w:lang w:eastAsia="it-IT"/>
        </w:rPr>
        <w:t>Altidona</w:t>
      </w:r>
      <w:r w:rsidRPr="00703396">
        <w:rPr>
          <w:rFonts w:cstheme="minorHAnsi"/>
          <w:sz w:val="24"/>
          <w:szCs w:val="24"/>
          <w:lang w:eastAsia="it-IT"/>
        </w:rPr>
        <w:t xml:space="preserve">, l'ufficio </w:t>
      </w:r>
      <w:r w:rsidRPr="00703396">
        <w:rPr>
          <w:rFonts w:cstheme="minorHAnsi"/>
          <w:sz w:val="24"/>
          <w:szCs w:val="24"/>
          <w:highlight w:val="yellow"/>
          <w:lang w:eastAsia="it-IT"/>
        </w:rPr>
        <w:t>…</w:t>
      </w:r>
      <w:r w:rsidRPr="00703396">
        <w:rPr>
          <w:rFonts w:cstheme="minorHAnsi"/>
          <w:sz w:val="24"/>
          <w:szCs w:val="24"/>
          <w:lang w:eastAsia="it-IT"/>
        </w:rPr>
        <w:t xml:space="preserve"> riveste il ruolo di Gestore della Tariffa e Rapporto con gli Utenti ed è quindi tenuto a compilare i capitoli 2 e 3 con i dati e le informazioni in proprio possesso.</w:t>
      </w:r>
    </w:p>
    <w:p w14:paraId="0588A70C" w14:textId="04D418A8" w:rsidR="00B322CC" w:rsidRPr="00703396" w:rsidRDefault="00B322CC" w:rsidP="00EF782C">
      <w:pPr>
        <w:jc w:val="both"/>
        <w:rPr>
          <w:rFonts w:cstheme="minorHAnsi"/>
          <w:sz w:val="24"/>
          <w:szCs w:val="24"/>
          <w:lang w:eastAsia="it-IT"/>
        </w:rPr>
      </w:pPr>
      <w:r w:rsidRPr="00703396">
        <w:rPr>
          <w:rFonts w:cstheme="minorHAnsi"/>
          <w:sz w:val="24"/>
          <w:szCs w:val="24"/>
          <w:lang w:eastAsia="it-IT"/>
        </w:rPr>
        <w:t xml:space="preserve">Dal momento che l’Ente territorialmente competente rimane il soggetto responsabile dell’elaborazione finale della relazione e della sua trasmissione all’Autorità unitamente agli altri atti che complessivamente costituiscono la predisposizione tariffaria da sottoporre all’approvazione di competenza dell’Autorità, si procede alla redazione dei capitoli suddetti che saranno successivamente trasmessi </w:t>
      </w:r>
      <w:r w:rsidR="00EF782C" w:rsidRPr="00703396">
        <w:rPr>
          <w:rFonts w:cstheme="minorHAnsi"/>
          <w:sz w:val="24"/>
          <w:szCs w:val="24"/>
          <w:lang w:eastAsia="it-IT"/>
        </w:rPr>
        <w:t>per la loro integrazione all'interno della relazione unitaria.</w:t>
      </w:r>
    </w:p>
    <w:p w14:paraId="747AB392" w14:textId="73EFF876" w:rsidR="00E717B9" w:rsidRPr="00703396" w:rsidRDefault="00E717B9" w:rsidP="00E717B9">
      <w:pPr>
        <w:rPr>
          <w:rFonts w:cstheme="minorHAnsi"/>
          <w:strike/>
          <w:sz w:val="24"/>
          <w:szCs w:val="24"/>
          <w:lang w:eastAsia="it-IT"/>
        </w:rPr>
      </w:pPr>
      <w:r w:rsidRPr="00703396">
        <w:rPr>
          <w:rFonts w:cstheme="minorHAnsi"/>
          <w:strike/>
          <w:sz w:val="24"/>
          <w:szCs w:val="24"/>
          <w:lang w:eastAsia="it-IT"/>
        </w:rPr>
        <w:br w:type="page"/>
      </w:r>
    </w:p>
    <w:p w14:paraId="07AE738D" w14:textId="1BCAFEC4" w:rsidR="00BF1188" w:rsidRPr="00703396" w:rsidRDefault="00BF1188" w:rsidP="00BF1188">
      <w:pPr>
        <w:pStyle w:val="Titolo1"/>
        <w:rPr>
          <w:rFonts w:asciiTheme="minorHAnsi" w:hAnsiTheme="minorHAnsi" w:cstheme="minorHAnsi"/>
        </w:rPr>
      </w:pPr>
      <w:bookmarkStart w:id="1" w:name="_Toc101866049"/>
      <w:r w:rsidRPr="00703396">
        <w:rPr>
          <w:rFonts w:asciiTheme="minorHAnsi" w:hAnsiTheme="minorHAnsi" w:cstheme="minorHAnsi"/>
        </w:rPr>
        <w:lastRenderedPageBreak/>
        <w:t>2. Descrizione dei servizi forniti</w:t>
      </w:r>
      <w:bookmarkEnd w:id="1"/>
    </w:p>
    <w:p w14:paraId="2247DA15" w14:textId="786C260C" w:rsidR="00E717B9" w:rsidRPr="00703396" w:rsidRDefault="00BF1188" w:rsidP="00BF1188">
      <w:pPr>
        <w:pStyle w:val="Titolo2"/>
        <w:rPr>
          <w:rFonts w:asciiTheme="minorHAnsi" w:hAnsiTheme="minorHAnsi" w:cstheme="minorHAnsi"/>
        </w:rPr>
      </w:pPr>
      <w:bookmarkStart w:id="2" w:name="_Toc101866050"/>
      <w:r w:rsidRPr="00703396">
        <w:rPr>
          <w:rFonts w:asciiTheme="minorHAnsi" w:hAnsiTheme="minorHAnsi" w:cstheme="minorHAnsi"/>
        </w:rPr>
        <w:t>2.</w:t>
      </w:r>
      <w:r w:rsidR="00E717B9" w:rsidRPr="00703396">
        <w:rPr>
          <w:rFonts w:asciiTheme="minorHAnsi" w:hAnsiTheme="minorHAnsi" w:cstheme="minorHAnsi"/>
        </w:rPr>
        <w:t>1 Perimetro della gestione e servizi forniti</w:t>
      </w:r>
      <w:bookmarkEnd w:id="2"/>
    </w:p>
    <w:p w14:paraId="690B3DF5" w14:textId="794368C2" w:rsidR="00E717B9" w:rsidRPr="00703396" w:rsidRDefault="00E717B9" w:rsidP="00CE2757">
      <w:pPr>
        <w:spacing w:line="276" w:lineRule="auto"/>
        <w:jc w:val="both"/>
        <w:rPr>
          <w:rFonts w:cstheme="minorHAnsi"/>
          <w:sz w:val="24"/>
          <w:szCs w:val="24"/>
          <w:lang w:eastAsia="it-IT"/>
        </w:rPr>
      </w:pPr>
      <w:r w:rsidRPr="00703396">
        <w:rPr>
          <w:rFonts w:cstheme="minorHAnsi"/>
          <w:sz w:val="24"/>
          <w:szCs w:val="24"/>
          <w:lang w:eastAsia="it-IT"/>
        </w:rPr>
        <w:t xml:space="preserve">L’articolo 1 dell’Allegato A alla Delibera </w:t>
      </w:r>
      <w:r w:rsidR="00CE2757" w:rsidRPr="00703396">
        <w:rPr>
          <w:rFonts w:cstheme="minorHAnsi"/>
          <w:sz w:val="24"/>
          <w:szCs w:val="24"/>
          <w:lang w:eastAsia="it-IT"/>
        </w:rPr>
        <w:t>36</w:t>
      </w:r>
      <w:r w:rsidRPr="00703396">
        <w:rPr>
          <w:rFonts w:cstheme="minorHAnsi"/>
          <w:sz w:val="24"/>
          <w:szCs w:val="24"/>
          <w:lang w:eastAsia="it-IT"/>
        </w:rPr>
        <w:t>3/20</w:t>
      </w:r>
      <w:r w:rsidR="00CE2757" w:rsidRPr="00703396">
        <w:rPr>
          <w:rFonts w:cstheme="minorHAnsi"/>
          <w:sz w:val="24"/>
          <w:szCs w:val="24"/>
          <w:lang w:eastAsia="it-IT"/>
        </w:rPr>
        <w:t>2</w:t>
      </w:r>
      <w:r w:rsidRPr="00703396">
        <w:rPr>
          <w:rFonts w:cstheme="minorHAnsi"/>
          <w:sz w:val="24"/>
          <w:szCs w:val="24"/>
          <w:lang w:eastAsia="it-IT"/>
        </w:rPr>
        <w:t xml:space="preserve">1 definisce il </w:t>
      </w:r>
      <w:r w:rsidRPr="00703396">
        <w:rPr>
          <w:rFonts w:cstheme="minorHAnsi"/>
          <w:b/>
          <w:bCs/>
          <w:sz w:val="24"/>
          <w:szCs w:val="24"/>
          <w:lang w:eastAsia="it-IT"/>
        </w:rPr>
        <w:t>servizio integrato di gestione</w:t>
      </w:r>
      <w:r w:rsidRPr="00703396">
        <w:rPr>
          <w:rFonts w:cstheme="minorHAnsi"/>
          <w:sz w:val="24"/>
          <w:szCs w:val="24"/>
          <w:lang w:eastAsia="it-IT"/>
        </w:rPr>
        <w:t xml:space="preserve"> come </w:t>
      </w:r>
      <w:r w:rsidRPr="00703396">
        <w:rPr>
          <w:rFonts w:cstheme="minorHAnsi"/>
          <w:i/>
          <w:iCs/>
          <w:sz w:val="24"/>
          <w:szCs w:val="24"/>
          <w:lang w:eastAsia="it-IT"/>
        </w:rPr>
        <w:t>“</w:t>
      </w:r>
      <w:r w:rsidR="00CE2757" w:rsidRPr="00703396">
        <w:rPr>
          <w:rFonts w:cstheme="minorHAnsi"/>
          <w:i/>
          <w:iCs/>
          <w:sz w:val="24"/>
          <w:szCs w:val="24"/>
          <w:lang w:eastAsia="it-IT"/>
        </w:rPr>
        <w:t>il complesso delle attività volte ad ottimizzare la gestione dei rifiuti urbani (indipendentemente dalla classificazione che assumono durante il loro percorso) vale a dire: l’attività di raccolta e trasporto; l’attività di trattamento e smaltimento; l’attività di trattamento e recupero; l'attività di spazzamento e lavaggio strade, nonché l’attività di gestione tariffe e rapporto con gli utenti;</w:t>
      </w:r>
      <w:r w:rsidRPr="00703396">
        <w:rPr>
          <w:rFonts w:cstheme="minorHAnsi"/>
          <w:i/>
          <w:iCs/>
          <w:sz w:val="24"/>
          <w:szCs w:val="24"/>
          <w:lang w:eastAsia="it-IT"/>
        </w:rPr>
        <w:t xml:space="preserve">” </w:t>
      </w:r>
      <w:r w:rsidRPr="00703396">
        <w:rPr>
          <w:rFonts w:cstheme="minorHAnsi"/>
          <w:sz w:val="24"/>
          <w:szCs w:val="24"/>
          <w:lang w:eastAsia="it-IT"/>
        </w:rPr>
        <w:t xml:space="preserve">e le </w:t>
      </w:r>
      <w:r w:rsidRPr="00703396">
        <w:rPr>
          <w:rFonts w:cstheme="minorHAnsi"/>
          <w:b/>
          <w:bCs/>
          <w:sz w:val="24"/>
          <w:szCs w:val="24"/>
          <w:lang w:eastAsia="it-IT"/>
        </w:rPr>
        <w:t>attività esterne</w:t>
      </w:r>
      <w:r w:rsidRPr="00703396">
        <w:rPr>
          <w:rFonts w:cstheme="minorHAnsi"/>
          <w:i/>
          <w:iCs/>
          <w:sz w:val="24"/>
          <w:szCs w:val="24"/>
          <w:lang w:eastAsia="it-IT"/>
        </w:rPr>
        <w:t xml:space="preserve"> </w:t>
      </w:r>
      <w:r w:rsidRPr="00703396">
        <w:rPr>
          <w:rFonts w:cstheme="minorHAnsi"/>
          <w:b/>
          <w:bCs/>
          <w:sz w:val="24"/>
          <w:szCs w:val="24"/>
          <w:lang w:eastAsia="it-IT"/>
        </w:rPr>
        <w:t>al ciclo integrato dei RU</w:t>
      </w:r>
      <w:r w:rsidRPr="00703396">
        <w:rPr>
          <w:rFonts w:cstheme="minorHAnsi"/>
          <w:sz w:val="24"/>
          <w:szCs w:val="24"/>
          <w:lang w:eastAsia="it-IT"/>
        </w:rPr>
        <w:t xml:space="preserve"> come le </w:t>
      </w:r>
      <w:r w:rsidRPr="00703396">
        <w:rPr>
          <w:rFonts w:cstheme="minorHAnsi"/>
          <w:i/>
          <w:iCs/>
          <w:sz w:val="24"/>
          <w:szCs w:val="24"/>
          <w:lang w:eastAsia="it-IT"/>
        </w:rPr>
        <w:t>“</w:t>
      </w:r>
      <w:r w:rsidR="00CE2757" w:rsidRPr="00703396">
        <w:rPr>
          <w:rFonts w:cstheme="minorHAnsi"/>
          <w:i/>
          <w:iCs/>
          <w:sz w:val="24"/>
          <w:szCs w:val="24"/>
          <w:lang w:eastAsia="it-IT"/>
        </w:rPr>
        <w:t>attività che, anche qualora siano state incluse nella concessione di affidamento del servizio di gestione integrata del ciclo dei rifiuti, ai sensi della normativa vigente, non possono essere incluse nel perimetro sottoposto a regolazione dell’Autorità; a titolo esemplificativo ma non esaustivo, comprendono in particolare: raccolta, trasporto e smaltimento amianto da utenze domestiche; tuttavia, ai fini della determinazione dei corrispettivi, laddove già inclusa nella gestione del ciclo integrato dei rifiuti urbani alla data di pubblicazione del presente provvedimento, la micro raccolta dell’amianto da utenze domestiche è da considerarsi tra le attività di gestione dei RU; derattizzazione; disinfestazione zanzare; spazzamento e sgombero della neve; cancellazione scritte vandaliche; defissione di manifesti abusivi; gestione dei servizi igienici pubblici; gestione del verde pubblico; manutenzione delle fontane</w:t>
      </w:r>
      <w:r w:rsidRPr="00703396">
        <w:rPr>
          <w:rFonts w:cstheme="minorHAnsi"/>
          <w:i/>
          <w:iCs/>
          <w:sz w:val="24"/>
          <w:szCs w:val="24"/>
          <w:lang w:eastAsia="it-IT"/>
        </w:rPr>
        <w:t xml:space="preserve">”. </w:t>
      </w:r>
    </w:p>
    <w:p w14:paraId="5429DB55" w14:textId="77777777" w:rsidR="00EA2AB2" w:rsidRPr="00703396" w:rsidRDefault="00EA2AB2" w:rsidP="00B31767">
      <w:pPr>
        <w:spacing w:line="276" w:lineRule="auto"/>
        <w:jc w:val="both"/>
        <w:rPr>
          <w:rFonts w:cstheme="minorHAnsi"/>
          <w:sz w:val="24"/>
          <w:szCs w:val="24"/>
          <w:lang w:eastAsia="it-IT"/>
        </w:rPr>
      </w:pPr>
    </w:p>
    <w:p w14:paraId="1DDD48A2" w14:textId="6F3C74E9" w:rsidR="003201AC" w:rsidRPr="00703396" w:rsidRDefault="00BF1188" w:rsidP="00BF1188">
      <w:pPr>
        <w:pStyle w:val="Titolo3"/>
        <w:numPr>
          <w:ilvl w:val="0"/>
          <w:numId w:val="0"/>
        </w:numPr>
        <w:ind w:left="400" w:hanging="400"/>
        <w:rPr>
          <w:rFonts w:asciiTheme="minorHAnsi" w:hAnsiTheme="minorHAnsi" w:cstheme="minorHAnsi"/>
          <w:spacing w:val="0"/>
        </w:rPr>
      </w:pPr>
      <w:bookmarkStart w:id="3" w:name="_Toc101866051"/>
      <w:r w:rsidRPr="00703396">
        <w:rPr>
          <w:rFonts w:asciiTheme="minorHAnsi" w:hAnsiTheme="minorHAnsi" w:cstheme="minorHAnsi"/>
          <w:spacing w:val="0"/>
        </w:rPr>
        <w:t>2.1.a Comuni serviti</w:t>
      </w:r>
      <w:bookmarkEnd w:id="3"/>
    </w:p>
    <w:p w14:paraId="6DF36F6A" w14:textId="15D0428A" w:rsidR="00BF1188" w:rsidRPr="00703396" w:rsidRDefault="005503E4" w:rsidP="008E0B88">
      <w:pPr>
        <w:spacing w:line="276" w:lineRule="auto"/>
        <w:jc w:val="both"/>
        <w:rPr>
          <w:rFonts w:cstheme="minorHAnsi"/>
          <w:sz w:val="24"/>
          <w:szCs w:val="24"/>
          <w:lang w:eastAsia="it-IT"/>
        </w:rPr>
      </w:pPr>
      <w:r w:rsidRPr="00703396">
        <w:rPr>
          <w:rFonts w:cstheme="minorHAnsi"/>
          <w:sz w:val="24"/>
          <w:szCs w:val="24"/>
          <w:lang w:eastAsia="it-IT"/>
        </w:rPr>
        <w:t>Il soggetto</w:t>
      </w:r>
      <w:r w:rsidR="00BF1188" w:rsidRPr="00703396">
        <w:rPr>
          <w:rFonts w:cstheme="minorHAnsi"/>
          <w:sz w:val="24"/>
          <w:szCs w:val="24"/>
          <w:lang w:eastAsia="it-IT"/>
        </w:rPr>
        <w:t xml:space="preserve"> </w:t>
      </w:r>
      <w:r w:rsidRPr="00703396">
        <w:rPr>
          <w:rFonts w:cstheme="minorHAnsi"/>
          <w:sz w:val="24"/>
          <w:szCs w:val="24"/>
          <w:lang w:eastAsia="it-IT"/>
        </w:rPr>
        <w:t>estensore del presente capitolo</w:t>
      </w:r>
      <w:r w:rsidR="00BF1188" w:rsidRPr="00703396">
        <w:rPr>
          <w:rFonts w:cstheme="minorHAnsi"/>
          <w:sz w:val="24"/>
          <w:szCs w:val="24"/>
          <w:lang w:eastAsia="it-IT"/>
        </w:rPr>
        <w:t xml:space="preserve">, individuato come </w:t>
      </w:r>
      <w:r w:rsidR="00BF1188" w:rsidRPr="00703396">
        <w:rPr>
          <w:rFonts w:cstheme="minorHAnsi"/>
          <w:sz w:val="24"/>
          <w:szCs w:val="24"/>
          <w:highlight w:val="yellow"/>
          <w:lang w:eastAsia="it-IT"/>
        </w:rPr>
        <w:t>Ufficio Tributi</w:t>
      </w:r>
      <w:r w:rsidR="00BF1188" w:rsidRPr="00703396">
        <w:rPr>
          <w:rFonts w:cstheme="minorHAnsi"/>
          <w:sz w:val="24"/>
          <w:szCs w:val="24"/>
          <w:lang w:eastAsia="it-IT"/>
        </w:rPr>
        <w:t xml:space="preserve">, </w:t>
      </w:r>
      <w:r w:rsidRPr="00703396">
        <w:rPr>
          <w:rFonts w:cstheme="minorHAnsi"/>
          <w:sz w:val="24"/>
          <w:szCs w:val="24"/>
          <w:lang w:eastAsia="it-IT"/>
        </w:rPr>
        <w:t>gestisce in economia il servizio di riscossione della tariffa e rapporto con gli utenti per il Comune di</w:t>
      </w:r>
      <w:r w:rsidR="00BF1188" w:rsidRPr="00703396">
        <w:rPr>
          <w:rFonts w:cstheme="minorHAnsi"/>
          <w:sz w:val="24"/>
          <w:szCs w:val="24"/>
          <w:lang w:eastAsia="it-IT"/>
        </w:rPr>
        <w:t xml:space="preserve"> </w:t>
      </w:r>
      <w:r w:rsidR="00944F4B">
        <w:rPr>
          <w:rFonts w:cstheme="minorHAnsi"/>
          <w:sz w:val="24"/>
          <w:szCs w:val="24"/>
          <w:lang w:eastAsia="it-IT"/>
        </w:rPr>
        <w:t>Altidona</w:t>
      </w:r>
      <w:r w:rsidR="00BF1188" w:rsidRPr="00703396">
        <w:rPr>
          <w:rFonts w:cstheme="minorHAnsi"/>
          <w:sz w:val="24"/>
          <w:szCs w:val="24"/>
          <w:lang w:eastAsia="it-IT"/>
        </w:rPr>
        <w:t>.</w:t>
      </w:r>
      <w:r w:rsidR="006442D9" w:rsidRPr="00703396">
        <w:rPr>
          <w:rFonts w:cstheme="minorHAnsi"/>
          <w:sz w:val="24"/>
          <w:szCs w:val="24"/>
          <w:lang w:eastAsia="it-IT"/>
        </w:rPr>
        <w:t xml:space="preserve"> </w:t>
      </w:r>
      <w:r w:rsidR="006442D9" w:rsidRPr="00944F4B">
        <w:rPr>
          <w:rFonts w:cstheme="minorHAnsi"/>
          <w:sz w:val="24"/>
          <w:szCs w:val="24"/>
          <w:lang w:eastAsia="it-IT"/>
        </w:rPr>
        <w:t>Dall'anno 2020 non vi sono state acquisizioni né cessazione di Comuni serviti</w:t>
      </w:r>
      <w:r w:rsidRPr="00944F4B">
        <w:rPr>
          <w:rFonts w:cstheme="minorHAnsi"/>
          <w:sz w:val="24"/>
          <w:szCs w:val="24"/>
          <w:lang w:eastAsia="it-IT"/>
        </w:rPr>
        <w:t>, nell'ambito di tale attività</w:t>
      </w:r>
      <w:r w:rsidR="006442D9" w:rsidRPr="00944F4B">
        <w:rPr>
          <w:rFonts w:cstheme="minorHAnsi"/>
          <w:sz w:val="24"/>
          <w:szCs w:val="24"/>
          <w:lang w:eastAsia="it-IT"/>
        </w:rPr>
        <w:t>.</w:t>
      </w:r>
    </w:p>
    <w:p w14:paraId="2F1D77C6" w14:textId="4F023223" w:rsidR="00BF1188" w:rsidRPr="00703396" w:rsidRDefault="00BF1188" w:rsidP="008E0B88">
      <w:pPr>
        <w:spacing w:line="276" w:lineRule="auto"/>
        <w:jc w:val="both"/>
        <w:rPr>
          <w:rFonts w:cstheme="minorHAnsi"/>
          <w:sz w:val="24"/>
          <w:szCs w:val="24"/>
          <w:lang w:eastAsia="it-IT"/>
        </w:rPr>
      </w:pPr>
    </w:p>
    <w:p w14:paraId="17D0BD46" w14:textId="7717B124" w:rsidR="00BF1188" w:rsidRPr="00703396" w:rsidRDefault="00BF1188" w:rsidP="00BF1188">
      <w:pPr>
        <w:pStyle w:val="Titolo3"/>
        <w:numPr>
          <w:ilvl w:val="0"/>
          <w:numId w:val="0"/>
        </w:numPr>
        <w:ind w:left="400" w:hanging="400"/>
        <w:rPr>
          <w:rFonts w:asciiTheme="minorHAnsi" w:hAnsiTheme="minorHAnsi" w:cstheme="minorHAnsi"/>
          <w:spacing w:val="0"/>
        </w:rPr>
      </w:pPr>
      <w:bookmarkStart w:id="4" w:name="_Toc101866052"/>
      <w:r w:rsidRPr="00703396">
        <w:rPr>
          <w:rFonts w:asciiTheme="minorHAnsi" w:hAnsiTheme="minorHAnsi" w:cstheme="minorHAnsi"/>
          <w:spacing w:val="0"/>
        </w:rPr>
        <w:t xml:space="preserve">2.1.b Modalità di erogazione </w:t>
      </w:r>
      <w:r w:rsidR="00C26294" w:rsidRPr="00703396">
        <w:rPr>
          <w:rFonts w:asciiTheme="minorHAnsi" w:hAnsiTheme="minorHAnsi" w:cstheme="minorHAnsi"/>
          <w:spacing w:val="0"/>
        </w:rPr>
        <w:t>del servizio di Gestione della Tariffa e Rapporto con gli Utenti</w:t>
      </w:r>
      <w:bookmarkEnd w:id="4"/>
    </w:p>
    <w:p w14:paraId="680DF3E3"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xml:space="preserve">L’Ufficio Tributi si occupa della riscossione del tributo relativo alla TARI, la tassa destinata a finanziare i costi del servizio di raccolta e smaltimento dei rifiuti. Tra le principali competenze si possono evidenziare: </w:t>
      </w:r>
    </w:p>
    <w:p w14:paraId="7A523064"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Predisposizione di simulazioni tariffarie / elaborazione delle tariffe - Ditta Siel s.r.l.</w:t>
      </w:r>
    </w:p>
    <w:p w14:paraId="3E175FDE"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attività di sportello quale supporto ai contribuenti attraverso il ricevimento degli stessi per il ritiro delle denunce, cessazioni, variazioni; evasione di richieste varie, ritiro istanze per riduzioni/esenzioni/agevolazioni d'imposta; risposte a richieste di chiarimenti pervenute per posta o e-mail;</w:t>
      </w:r>
    </w:p>
    <w:p w14:paraId="21C5A516" w14:textId="0F46BE96" w:rsidR="00944F4B" w:rsidRPr="00944F4B" w:rsidRDefault="00944F4B" w:rsidP="00944F4B">
      <w:pPr>
        <w:jc w:val="both"/>
        <w:rPr>
          <w:rFonts w:cstheme="minorHAnsi"/>
          <w:sz w:val="24"/>
          <w:szCs w:val="24"/>
          <w:lang w:eastAsia="it-IT"/>
        </w:rPr>
      </w:pPr>
      <w:r w:rsidRPr="00944F4B">
        <w:rPr>
          <w:rFonts w:cstheme="minorHAnsi"/>
          <w:sz w:val="24"/>
          <w:szCs w:val="24"/>
          <w:lang w:eastAsia="it-IT"/>
        </w:rPr>
        <w:t>• servizio di bollettazione annuale per la riscossione diretta della tassa sui rifiuti con l'invio di circa n. 1</w:t>
      </w:r>
      <w:r>
        <w:rPr>
          <w:rFonts w:cstheme="minorHAnsi"/>
          <w:sz w:val="24"/>
          <w:szCs w:val="24"/>
          <w:lang w:eastAsia="it-IT"/>
        </w:rPr>
        <w:t>.</w:t>
      </w:r>
      <w:r w:rsidRPr="00944F4B">
        <w:rPr>
          <w:rFonts w:cstheme="minorHAnsi"/>
          <w:sz w:val="24"/>
          <w:szCs w:val="24"/>
          <w:lang w:eastAsia="it-IT"/>
        </w:rPr>
        <w:t xml:space="preserve">996 avvisi di pagamento </w:t>
      </w:r>
    </w:p>
    <w:p w14:paraId="365B03E0"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acquisizioni dei pagamenti ordinari e di violazioni;</w:t>
      </w:r>
    </w:p>
    <w:p w14:paraId="5CB07BC5"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lastRenderedPageBreak/>
        <w:t>• verifica delle dichiarazioni presentate e gestione degli archivi comunali con i dati raccolti, con aggiornamento periodico attraverso caricamento a sistema delle variazioni;</w:t>
      </w:r>
    </w:p>
    <w:p w14:paraId="798914C5"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istruzione ed evasione delle pratiche di rimborso;</w:t>
      </w:r>
    </w:p>
    <w:p w14:paraId="1AEED277"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contrasto all'evasione fiscale tramite attività di controllo ed individuazione delle sacche di evasione;</w:t>
      </w:r>
    </w:p>
    <w:p w14:paraId="570CCD4F"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emissione degli atti di liquidazione, accertamento, rettifica per omessi, parziali o tardivi versamenti ed omesse, infedeli o tardive dichiarazioni;</w:t>
      </w:r>
    </w:p>
    <w:p w14:paraId="212D44BD"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trasmissione ad Agenzia delle Entrate - Riscossione per la riscossione coattiva, delle pratiche relative agli insoluti.</w:t>
      </w:r>
    </w:p>
    <w:p w14:paraId="60B2D5DC" w14:textId="77777777" w:rsidR="00944F4B" w:rsidRPr="00944F4B" w:rsidRDefault="00944F4B" w:rsidP="00944F4B">
      <w:pPr>
        <w:jc w:val="both"/>
        <w:rPr>
          <w:rFonts w:cstheme="minorHAnsi"/>
          <w:sz w:val="24"/>
          <w:szCs w:val="24"/>
          <w:lang w:eastAsia="it-IT"/>
        </w:rPr>
      </w:pPr>
    </w:p>
    <w:p w14:paraId="267694E7" w14:textId="19322CD4" w:rsidR="00944F4B" w:rsidRPr="00944F4B" w:rsidRDefault="00944F4B" w:rsidP="00944F4B">
      <w:pPr>
        <w:jc w:val="both"/>
        <w:rPr>
          <w:rFonts w:cstheme="minorHAnsi"/>
          <w:sz w:val="24"/>
          <w:szCs w:val="24"/>
          <w:lang w:eastAsia="it-IT"/>
        </w:rPr>
      </w:pPr>
      <w:r w:rsidRPr="00944F4B">
        <w:rPr>
          <w:rFonts w:cstheme="minorHAnsi"/>
          <w:sz w:val="24"/>
          <w:szCs w:val="24"/>
          <w:lang w:eastAsia="it-IT"/>
        </w:rPr>
        <w:t xml:space="preserve">La gestione del rapporto con gli utenti, per quanto attiene la tariffazione del servizio, viene erogata mediante un servizio di sportello che osserva i seguenti orari: lunedì e venerdì dalle ore 08.30 alle ore 12.30 per un totale di 20 ore settimanali.  </w:t>
      </w:r>
    </w:p>
    <w:p w14:paraId="2E3B214F"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Lo sportello telefonico è attivo negli orari di lavoro dei dipendenti, per n. 36 ore settimanali.</w:t>
      </w:r>
    </w:p>
    <w:p w14:paraId="2D79A0CD"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 xml:space="preserve">L'emissione e spedizione degli avvisi di pagamento avviene a mezzo postalizzazione ed invio attraverso ditta specializzata con consegna tramite posta massiva ordinaria. </w:t>
      </w:r>
    </w:p>
    <w:p w14:paraId="2E1AAECB" w14:textId="77777777" w:rsidR="00944F4B" w:rsidRPr="00944F4B" w:rsidRDefault="00944F4B" w:rsidP="00944F4B">
      <w:pPr>
        <w:jc w:val="both"/>
        <w:rPr>
          <w:rFonts w:cstheme="minorHAnsi"/>
          <w:sz w:val="24"/>
          <w:szCs w:val="24"/>
          <w:lang w:eastAsia="it-IT"/>
        </w:rPr>
      </w:pPr>
      <w:r w:rsidRPr="00944F4B">
        <w:rPr>
          <w:rFonts w:cstheme="minorHAnsi"/>
          <w:sz w:val="24"/>
          <w:szCs w:val="24"/>
          <w:lang w:eastAsia="it-IT"/>
        </w:rPr>
        <w:t>Le richieste ricevute dall’utenza vengono gestite ed evase in base alle vigenti disposizioni entro il termine di 30 giorni, in applicazione dell’art. 2 legge 241/1990.</w:t>
      </w:r>
    </w:p>
    <w:p w14:paraId="50B05ED0" w14:textId="28102ACD" w:rsidR="00944F4B" w:rsidRPr="00944F4B" w:rsidRDefault="00944F4B" w:rsidP="00944F4B">
      <w:pPr>
        <w:jc w:val="both"/>
        <w:rPr>
          <w:rFonts w:cstheme="minorHAnsi"/>
          <w:sz w:val="24"/>
          <w:szCs w:val="24"/>
          <w:lang w:eastAsia="it-IT"/>
        </w:rPr>
      </w:pPr>
      <w:r w:rsidRPr="00944F4B">
        <w:rPr>
          <w:rFonts w:cstheme="minorHAnsi"/>
          <w:sz w:val="24"/>
          <w:szCs w:val="24"/>
          <w:lang w:eastAsia="it-IT"/>
        </w:rPr>
        <w:t>Il funzionario responsabile del tributo è</w:t>
      </w:r>
      <w:r>
        <w:rPr>
          <w:rFonts w:cstheme="minorHAnsi"/>
          <w:sz w:val="24"/>
          <w:szCs w:val="24"/>
          <w:lang w:eastAsia="it-IT"/>
        </w:rPr>
        <w:t xml:space="preserve"> il</w:t>
      </w:r>
      <w:r w:rsidRPr="00944F4B">
        <w:rPr>
          <w:rFonts w:cstheme="minorHAnsi"/>
          <w:sz w:val="24"/>
          <w:szCs w:val="24"/>
          <w:lang w:eastAsia="it-IT"/>
        </w:rPr>
        <w:t xml:space="preserve"> Rag. Giampiero Fabi</w:t>
      </w:r>
      <w:r>
        <w:rPr>
          <w:rFonts w:cstheme="minorHAnsi"/>
          <w:sz w:val="24"/>
          <w:szCs w:val="24"/>
          <w:lang w:eastAsia="it-IT"/>
        </w:rPr>
        <w:t>.</w:t>
      </w:r>
    </w:p>
    <w:p w14:paraId="389DDB70" w14:textId="77777777" w:rsidR="00944F4B" w:rsidRDefault="00944F4B" w:rsidP="007E21F3">
      <w:pPr>
        <w:jc w:val="both"/>
        <w:rPr>
          <w:rFonts w:cstheme="minorHAnsi"/>
          <w:sz w:val="24"/>
          <w:szCs w:val="24"/>
          <w:lang w:eastAsia="it-IT"/>
        </w:rPr>
      </w:pPr>
    </w:p>
    <w:p w14:paraId="5A09AE8F" w14:textId="74F84D54" w:rsidR="00572A28" w:rsidRPr="00703396" w:rsidRDefault="007E21F3" w:rsidP="007E21F3">
      <w:pPr>
        <w:jc w:val="both"/>
        <w:rPr>
          <w:rFonts w:cstheme="minorHAnsi"/>
          <w:sz w:val="24"/>
          <w:szCs w:val="24"/>
          <w:lang w:eastAsia="it-IT"/>
        </w:rPr>
      </w:pPr>
      <w:r w:rsidRPr="00703396">
        <w:rPr>
          <w:rFonts w:cstheme="minorHAnsi"/>
          <w:sz w:val="24"/>
          <w:szCs w:val="24"/>
          <w:lang w:eastAsia="it-IT"/>
        </w:rPr>
        <w:t>Per la predisposizione del PE</w:t>
      </w:r>
      <w:r w:rsidR="00B672DC">
        <w:rPr>
          <w:rFonts w:cstheme="minorHAnsi"/>
          <w:sz w:val="24"/>
          <w:szCs w:val="24"/>
          <w:lang w:eastAsia="it-IT"/>
        </w:rPr>
        <w:t>F</w:t>
      </w:r>
      <w:r w:rsidRPr="00703396">
        <w:rPr>
          <w:rFonts w:cstheme="minorHAnsi"/>
          <w:sz w:val="24"/>
          <w:szCs w:val="24"/>
          <w:lang w:eastAsia="it-IT"/>
        </w:rPr>
        <w:t xml:space="preserve">, il Comune di </w:t>
      </w:r>
      <w:r w:rsidR="00B672DC">
        <w:rPr>
          <w:rFonts w:cstheme="minorHAnsi"/>
          <w:sz w:val="24"/>
          <w:szCs w:val="24"/>
          <w:lang w:eastAsia="it-IT"/>
        </w:rPr>
        <w:t>Altidona</w:t>
      </w:r>
      <w:r w:rsidRPr="00703396">
        <w:rPr>
          <w:rFonts w:cstheme="minorHAnsi"/>
          <w:sz w:val="24"/>
          <w:szCs w:val="24"/>
          <w:lang w:eastAsia="it-IT"/>
        </w:rPr>
        <w:t xml:space="preserve"> si </w:t>
      </w:r>
      <w:r w:rsidRPr="00B672DC">
        <w:rPr>
          <w:rFonts w:cstheme="minorHAnsi"/>
          <w:sz w:val="24"/>
          <w:szCs w:val="24"/>
          <w:lang w:eastAsia="it-IT"/>
        </w:rPr>
        <w:t>avvale del supporto di un consulente esterno.</w:t>
      </w:r>
    </w:p>
    <w:p w14:paraId="25C337C0" w14:textId="4EFB51E2" w:rsidR="005503E4" w:rsidRPr="00703396" w:rsidRDefault="005503E4" w:rsidP="007E21F3">
      <w:pPr>
        <w:jc w:val="both"/>
        <w:rPr>
          <w:rFonts w:cstheme="minorHAnsi"/>
          <w:sz w:val="24"/>
          <w:szCs w:val="24"/>
          <w:lang w:eastAsia="it-IT"/>
        </w:rPr>
      </w:pPr>
      <w:r w:rsidRPr="00B672DC">
        <w:rPr>
          <w:rFonts w:cstheme="minorHAnsi"/>
          <w:sz w:val="24"/>
          <w:szCs w:val="24"/>
          <w:lang w:eastAsia="it-IT"/>
        </w:rPr>
        <w:t xml:space="preserve">Il Comune non ha sostenuto nell’anno 2020 oneri relativi all’attività di campagne informative, di educazione ambientale </w:t>
      </w:r>
      <w:r w:rsidR="00295D44" w:rsidRPr="00B672DC">
        <w:rPr>
          <w:rFonts w:cstheme="minorHAnsi"/>
          <w:sz w:val="24"/>
          <w:szCs w:val="24"/>
          <w:lang w:eastAsia="it-IT"/>
        </w:rPr>
        <w:t xml:space="preserve">né ha proceduto all'implementazione di specifiche </w:t>
      </w:r>
      <w:r w:rsidRPr="00B672DC">
        <w:rPr>
          <w:rFonts w:cstheme="minorHAnsi"/>
          <w:sz w:val="24"/>
          <w:szCs w:val="24"/>
          <w:lang w:eastAsia="it-IT"/>
        </w:rPr>
        <w:t>misure di prevenzione</w:t>
      </w:r>
      <w:r w:rsidR="00295D44" w:rsidRPr="00B672DC">
        <w:rPr>
          <w:rFonts w:cstheme="minorHAnsi"/>
          <w:sz w:val="24"/>
          <w:szCs w:val="24"/>
          <w:lang w:eastAsia="it-IT"/>
        </w:rPr>
        <w:t xml:space="preserve"> della produzione di rifiuti urbani</w:t>
      </w:r>
      <w:r w:rsidRPr="00B672DC">
        <w:rPr>
          <w:rFonts w:cstheme="minorHAnsi"/>
          <w:sz w:val="24"/>
          <w:szCs w:val="24"/>
          <w:lang w:eastAsia="it-IT"/>
        </w:rPr>
        <w:t>.</w:t>
      </w:r>
    </w:p>
    <w:p w14:paraId="7EB04E8E" w14:textId="77777777" w:rsidR="006442D9" w:rsidRPr="00703396" w:rsidRDefault="006442D9" w:rsidP="00572A28">
      <w:pPr>
        <w:jc w:val="both"/>
        <w:rPr>
          <w:rFonts w:cstheme="minorHAnsi"/>
          <w:sz w:val="24"/>
          <w:szCs w:val="24"/>
        </w:rPr>
      </w:pPr>
    </w:p>
    <w:p w14:paraId="5718C705" w14:textId="0E260B57" w:rsidR="00A141F5" w:rsidRPr="00703396" w:rsidRDefault="00A141F5" w:rsidP="00A141F5">
      <w:pPr>
        <w:pStyle w:val="Titolo3"/>
        <w:numPr>
          <w:ilvl w:val="0"/>
          <w:numId w:val="0"/>
        </w:numPr>
        <w:ind w:left="400" w:hanging="400"/>
        <w:rPr>
          <w:rFonts w:asciiTheme="minorHAnsi" w:hAnsiTheme="minorHAnsi" w:cstheme="minorHAnsi"/>
          <w:spacing w:val="0"/>
        </w:rPr>
      </w:pPr>
      <w:bookmarkStart w:id="5" w:name="_Toc101866053"/>
      <w:r w:rsidRPr="00703396">
        <w:rPr>
          <w:rFonts w:asciiTheme="minorHAnsi" w:hAnsiTheme="minorHAnsi" w:cstheme="minorHAnsi"/>
          <w:spacing w:val="0"/>
        </w:rPr>
        <w:t>2.1.c Attività esterne</w:t>
      </w:r>
      <w:bookmarkEnd w:id="5"/>
    </w:p>
    <w:p w14:paraId="081B8F9F" w14:textId="4E2CE0DA" w:rsidR="00B461AA" w:rsidRPr="00703396" w:rsidRDefault="00D521E9" w:rsidP="00BF1188">
      <w:pPr>
        <w:jc w:val="both"/>
        <w:rPr>
          <w:rFonts w:cstheme="minorHAnsi"/>
          <w:sz w:val="24"/>
          <w:szCs w:val="24"/>
        </w:rPr>
      </w:pPr>
      <w:r w:rsidRPr="005353F0">
        <w:rPr>
          <w:rFonts w:cstheme="minorHAnsi"/>
          <w:sz w:val="24"/>
          <w:szCs w:val="24"/>
        </w:rPr>
        <w:t xml:space="preserve">I costi illustrati nella presente relazione non sono riferiti ad </w:t>
      </w:r>
      <w:r w:rsidR="00CC3825" w:rsidRPr="005353F0">
        <w:rPr>
          <w:rFonts w:cstheme="minorHAnsi"/>
          <w:sz w:val="24"/>
          <w:szCs w:val="24"/>
        </w:rPr>
        <w:t>alcuna attività esterna al perimetro gestionale, così come definit</w:t>
      </w:r>
      <w:r w:rsidR="000C0C94" w:rsidRPr="005353F0">
        <w:rPr>
          <w:rFonts w:cstheme="minorHAnsi"/>
          <w:sz w:val="24"/>
          <w:szCs w:val="24"/>
        </w:rPr>
        <w:t>a</w:t>
      </w:r>
      <w:r w:rsidR="00CC3825" w:rsidRPr="005353F0">
        <w:rPr>
          <w:rFonts w:cstheme="minorHAnsi"/>
          <w:sz w:val="24"/>
          <w:szCs w:val="24"/>
        </w:rPr>
        <w:t xml:space="preserve"> dall</w:t>
      </w:r>
      <w:r w:rsidR="00BF1188" w:rsidRPr="005353F0">
        <w:rPr>
          <w:rFonts w:cstheme="minorHAnsi"/>
          <w:sz w:val="24"/>
          <w:szCs w:val="24"/>
        </w:rPr>
        <w:t>’Allegato A all</w:t>
      </w:r>
      <w:r w:rsidR="00CC3825" w:rsidRPr="005353F0">
        <w:rPr>
          <w:rFonts w:cstheme="minorHAnsi"/>
          <w:sz w:val="24"/>
          <w:szCs w:val="24"/>
        </w:rPr>
        <w:t xml:space="preserve">a Deliberazione </w:t>
      </w:r>
      <w:r w:rsidR="00BF1188" w:rsidRPr="005353F0">
        <w:rPr>
          <w:rFonts w:cstheme="minorHAnsi"/>
          <w:sz w:val="24"/>
          <w:szCs w:val="24"/>
        </w:rPr>
        <w:t>36</w:t>
      </w:r>
      <w:r w:rsidR="00CC3825" w:rsidRPr="005353F0">
        <w:rPr>
          <w:rFonts w:cstheme="minorHAnsi"/>
          <w:sz w:val="24"/>
          <w:szCs w:val="24"/>
        </w:rPr>
        <w:t>3/20</w:t>
      </w:r>
      <w:r w:rsidR="00BF1188" w:rsidRPr="005353F0">
        <w:rPr>
          <w:rFonts w:cstheme="minorHAnsi"/>
          <w:sz w:val="24"/>
          <w:szCs w:val="24"/>
        </w:rPr>
        <w:t>2</w:t>
      </w:r>
      <w:r w:rsidR="00CC3825" w:rsidRPr="005353F0">
        <w:rPr>
          <w:rFonts w:cstheme="minorHAnsi"/>
          <w:sz w:val="24"/>
          <w:szCs w:val="24"/>
        </w:rPr>
        <w:t>1.</w:t>
      </w:r>
    </w:p>
    <w:p w14:paraId="48DB95E1" w14:textId="77777777" w:rsidR="00357D8D" w:rsidRPr="00703396" w:rsidRDefault="00357D8D" w:rsidP="00FB0910">
      <w:pPr>
        <w:jc w:val="both"/>
        <w:rPr>
          <w:rFonts w:cstheme="minorHAnsi"/>
          <w:sz w:val="24"/>
          <w:szCs w:val="24"/>
        </w:rPr>
      </w:pPr>
    </w:p>
    <w:p w14:paraId="61535767" w14:textId="6AC832F6" w:rsidR="00C26294" w:rsidRPr="00703396" w:rsidRDefault="00C26294" w:rsidP="00C26294">
      <w:pPr>
        <w:pStyle w:val="Titolo2"/>
        <w:rPr>
          <w:rFonts w:asciiTheme="minorHAnsi" w:hAnsiTheme="minorHAnsi" w:cstheme="minorHAnsi"/>
        </w:rPr>
      </w:pPr>
      <w:bookmarkStart w:id="6" w:name="_Toc101866054"/>
      <w:r w:rsidRPr="00703396">
        <w:rPr>
          <w:rFonts w:asciiTheme="minorHAnsi" w:hAnsiTheme="minorHAnsi" w:cstheme="minorHAnsi"/>
        </w:rPr>
        <w:t>2.2 Altre informazioni rilevanti</w:t>
      </w:r>
      <w:bookmarkEnd w:id="6"/>
    </w:p>
    <w:p w14:paraId="06ED719E" w14:textId="2DBACC26" w:rsidR="00211B3E" w:rsidRPr="00703396" w:rsidRDefault="00211B3E" w:rsidP="00EA2AB2">
      <w:pPr>
        <w:jc w:val="both"/>
        <w:rPr>
          <w:rFonts w:cstheme="minorHAnsi"/>
          <w:sz w:val="24"/>
          <w:szCs w:val="24"/>
        </w:rPr>
      </w:pPr>
      <w:r w:rsidRPr="00703396">
        <w:rPr>
          <w:rFonts w:cstheme="minorHAnsi"/>
          <w:sz w:val="24"/>
          <w:szCs w:val="24"/>
          <w:lang w:eastAsia="it-IT"/>
        </w:rPr>
        <w:t xml:space="preserve">Il Comune di </w:t>
      </w:r>
      <w:r w:rsidR="005353F0">
        <w:rPr>
          <w:rFonts w:cstheme="minorHAnsi"/>
          <w:sz w:val="24"/>
          <w:szCs w:val="24"/>
          <w:lang w:eastAsia="it-IT"/>
        </w:rPr>
        <w:t>Altidona</w:t>
      </w:r>
      <w:r w:rsidRPr="00703396">
        <w:rPr>
          <w:rFonts w:cstheme="minorHAnsi"/>
          <w:sz w:val="24"/>
          <w:szCs w:val="24"/>
          <w:lang w:eastAsia="it-IT"/>
        </w:rPr>
        <w:t xml:space="preserve"> non si trova in situazione di squilibrio strutturale del bilancio</w:t>
      </w:r>
      <w:r w:rsidR="00B461AA" w:rsidRPr="00703396">
        <w:rPr>
          <w:rFonts w:cstheme="minorHAnsi"/>
          <w:sz w:val="24"/>
          <w:szCs w:val="24"/>
        </w:rPr>
        <w:t>.</w:t>
      </w:r>
    </w:p>
    <w:p w14:paraId="69495E80" w14:textId="732FAF5D" w:rsidR="00211B3E" w:rsidRPr="00703396" w:rsidRDefault="00211B3E" w:rsidP="00EA2AB2">
      <w:pPr>
        <w:jc w:val="both"/>
        <w:rPr>
          <w:rFonts w:cstheme="minorHAnsi"/>
          <w:sz w:val="24"/>
          <w:szCs w:val="24"/>
        </w:rPr>
      </w:pPr>
      <w:r w:rsidRPr="009840B8">
        <w:rPr>
          <w:rFonts w:cstheme="minorHAnsi"/>
          <w:sz w:val="24"/>
          <w:szCs w:val="24"/>
        </w:rPr>
        <w:t>Non si rilevano ricorsi pendenti in ambito di gestione del ciclo integrato</w:t>
      </w:r>
      <w:r w:rsidR="00B41044" w:rsidRPr="009840B8">
        <w:rPr>
          <w:rFonts w:cstheme="minorHAnsi"/>
          <w:sz w:val="24"/>
          <w:szCs w:val="24"/>
        </w:rPr>
        <w:t xml:space="preserve"> che coinvolgano il Comune di NomeComune</w:t>
      </w:r>
      <w:r w:rsidRPr="009840B8">
        <w:rPr>
          <w:rFonts w:cstheme="minorHAnsi"/>
          <w:sz w:val="24"/>
          <w:szCs w:val="24"/>
        </w:rPr>
        <w:t xml:space="preserve">, nemmeno per quanto attiene a contenziosi relativi al rapporto tributario con i </w:t>
      </w:r>
      <w:r w:rsidRPr="009840B8">
        <w:rPr>
          <w:rFonts w:cstheme="minorHAnsi"/>
          <w:sz w:val="24"/>
          <w:szCs w:val="24"/>
        </w:rPr>
        <w:lastRenderedPageBreak/>
        <w:t>contribuenti TARI; non si evidenziano nemmeno sentenze rilevanti passate in giudicato sulle stesse materie, nell'ultimo biennio.</w:t>
      </w:r>
    </w:p>
    <w:p w14:paraId="7D71497F" w14:textId="77777777" w:rsidR="00211B3E" w:rsidRPr="00703396" w:rsidRDefault="00211B3E" w:rsidP="00EA2AB2">
      <w:pPr>
        <w:jc w:val="both"/>
        <w:rPr>
          <w:rFonts w:cstheme="minorHAnsi"/>
          <w:sz w:val="24"/>
          <w:szCs w:val="24"/>
        </w:rPr>
      </w:pPr>
    </w:p>
    <w:p w14:paraId="4D40A7E1" w14:textId="5E2C6C73" w:rsidR="00E717B9" w:rsidRPr="00703396" w:rsidRDefault="00E717B9" w:rsidP="00EA2AB2">
      <w:pPr>
        <w:jc w:val="both"/>
        <w:rPr>
          <w:rFonts w:cstheme="minorHAnsi"/>
          <w:sz w:val="24"/>
          <w:szCs w:val="24"/>
        </w:rPr>
      </w:pPr>
      <w:r w:rsidRPr="00703396">
        <w:rPr>
          <w:rFonts w:cstheme="minorHAnsi"/>
          <w:b/>
          <w:bCs/>
          <w:sz w:val="34"/>
          <w:szCs w:val="34"/>
          <w:lang w:eastAsia="it-IT"/>
        </w:rPr>
        <w:br w:type="page"/>
      </w:r>
    </w:p>
    <w:p w14:paraId="1072E401" w14:textId="31F947FB" w:rsidR="00346FD3" w:rsidRPr="00703396" w:rsidRDefault="00346FD3" w:rsidP="00346FD3">
      <w:pPr>
        <w:pStyle w:val="Titolo1"/>
        <w:rPr>
          <w:rFonts w:asciiTheme="minorHAnsi" w:hAnsiTheme="minorHAnsi" w:cstheme="minorHAnsi"/>
        </w:rPr>
      </w:pPr>
      <w:bookmarkStart w:id="7" w:name="_Toc101866055"/>
      <w:r w:rsidRPr="00703396">
        <w:rPr>
          <w:rFonts w:asciiTheme="minorHAnsi" w:hAnsiTheme="minorHAnsi" w:cstheme="minorHAnsi"/>
        </w:rPr>
        <w:lastRenderedPageBreak/>
        <w:t>3. Dati relativi alla gestione dell'ambito tariffario</w:t>
      </w:r>
      <w:bookmarkEnd w:id="7"/>
    </w:p>
    <w:p w14:paraId="22A1B8C8" w14:textId="46E5266A" w:rsidR="00346FD3" w:rsidRPr="00703396" w:rsidRDefault="00346FD3" w:rsidP="00346FD3">
      <w:pPr>
        <w:pStyle w:val="Titolo2"/>
        <w:rPr>
          <w:rFonts w:asciiTheme="minorHAnsi" w:hAnsiTheme="minorHAnsi" w:cstheme="minorHAnsi"/>
        </w:rPr>
      </w:pPr>
      <w:bookmarkStart w:id="8" w:name="_Toc101866056"/>
      <w:r w:rsidRPr="00703396">
        <w:rPr>
          <w:rFonts w:asciiTheme="minorHAnsi" w:hAnsiTheme="minorHAnsi" w:cstheme="minorHAnsi"/>
        </w:rPr>
        <w:t>3.1 Dati tecnici e patrimoniali</w:t>
      </w:r>
      <w:bookmarkEnd w:id="8"/>
    </w:p>
    <w:p w14:paraId="033CBDAE" w14:textId="7BB72610" w:rsidR="00346FD3" w:rsidRPr="00703396" w:rsidRDefault="00346FD3" w:rsidP="00346FD3">
      <w:pPr>
        <w:pStyle w:val="Titolo3"/>
        <w:numPr>
          <w:ilvl w:val="0"/>
          <w:numId w:val="0"/>
        </w:numPr>
        <w:ind w:left="400" w:hanging="400"/>
        <w:rPr>
          <w:rFonts w:asciiTheme="minorHAnsi" w:hAnsiTheme="minorHAnsi" w:cstheme="minorHAnsi"/>
          <w:spacing w:val="0"/>
        </w:rPr>
      </w:pPr>
      <w:bookmarkStart w:id="9" w:name="_Toc101866057"/>
      <w:r w:rsidRPr="00703396">
        <w:rPr>
          <w:rFonts w:asciiTheme="minorHAnsi" w:hAnsiTheme="minorHAnsi" w:cstheme="minorHAnsi"/>
          <w:spacing w:val="0"/>
        </w:rPr>
        <w:t>3.1.1 Dati sul territorio gestito e sull'affidamento</w:t>
      </w:r>
      <w:bookmarkEnd w:id="9"/>
    </w:p>
    <w:p w14:paraId="04727938" w14:textId="2BC83B54" w:rsidR="00E717B9" w:rsidRDefault="00346FD3" w:rsidP="00B31767">
      <w:pPr>
        <w:pStyle w:val="Paragrafoelenco"/>
        <w:spacing w:line="276" w:lineRule="auto"/>
        <w:ind w:left="0"/>
        <w:contextualSpacing w:val="0"/>
        <w:jc w:val="both"/>
        <w:rPr>
          <w:rFonts w:cstheme="minorHAnsi"/>
          <w:sz w:val="24"/>
          <w:szCs w:val="24"/>
          <w:lang w:eastAsia="it-IT"/>
        </w:rPr>
      </w:pPr>
      <w:r w:rsidRPr="00F028DF">
        <w:rPr>
          <w:rFonts w:cstheme="minorHAnsi"/>
          <w:sz w:val="24"/>
          <w:szCs w:val="24"/>
          <w:lang w:eastAsia="it-IT"/>
        </w:rPr>
        <w:t xml:space="preserve">In relazione ai servizi forniti dal Gestore </w:t>
      </w:r>
      <w:r w:rsidRPr="00703396">
        <w:rPr>
          <w:rFonts w:cstheme="minorHAnsi"/>
          <w:sz w:val="24"/>
          <w:szCs w:val="24"/>
          <w:highlight w:val="yellow"/>
          <w:lang w:eastAsia="it-IT"/>
        </w:rPr>
        <w:t>Ufficio Tributi (Gestione della Tariffa e Rapporto con gli Utent</w:t>
      </w:r>
      <w:r w:rsidRPr="00F028DF">
        <w:rPr>
          <w:rFonts w:cstheme="minorHAnsi"/>
          <w:sz w:val="24"/>
          <w:szCs w:val="24"/>
          <w:highlight w:val="yellow"/>
          <w:lang w:eastAsia="it-IT"/>
        </w:rPr>
        <w:t>i),</w:t>
      </w:r>
      <w:r w:rsidRPr="00F028DF">
        <w:rPr>
          <w:rFonts w:cstheme="minorHAnsi"/>
          <w:sz w:val="24"/>
          <w:szCs w:val="24"/>
          <w:lang w:eastAsia="it-IT"/>
        </w:rPr>
        <w:t xml:space="preserve"> con riferimento a ciascuna annualità del periodo 2022-2025, non si rilevano variazioni attese relative al perimetro gestionale</w:t>
      </w:r>
      <w:r w:rsidR="00F81259" w:rsidRPr="00F028DF">
        <w:rPr>
          <w:rFonts w:cstheme="minorHAnsi"/>
          <w:sz w:val="24"/>
          <w:szCs w:val="24"/>
          <w:lang w:eastAsia="it-IT"/>
        </w:rPr>
        <w:t>.</w:t>
      </w:r>
      <w:r w:rsidRPr="00F028DF">
        <w:rPr>
          <w:rFonts w:cstheme="minorHAnsi"/>
          <w:sz w:val="24"/>
          <w:szCs w:val="24"/>
          <w:lang w:eastAsia="it-IT"/>
        </w:rPr>
        <w:t xml:space="preserve"> </w:t>
      </w:r>
    </w:p>
    <w:p w14:paraId="23FA5FF9" w14:textId="00B03CCF" w:rsidR="003D488A" w:rsidRDefault="003D488A" w:rsidP="00346FD3">
      <w:pPr>
        <w:pStyle w:val="Paragrafoelenco"/>
        <w:spacing w:line="276" w:lineRule="auto"/>
        <w:ind w:left="0"/>
        <w:contextualSpacing w:val="0"/>
        <w:jc w:val="both"/>
        <w:rPr>
          <w:rFonts w:cstheme="minorHAnsi"/>
          <w:sz w:val="24"/>
          <w:szCs w:val="24"/>
          <w:lang w:eastAsia="it-IT"/>
        </w:rPr>
      </w:pPr>
      <w:r w:rsidRPr="003D488A">
        <w:rPr>
          <w:rFonts w:cstheme="minorHAnsi"/>
          <w:sz w:val="24"/>
          <w:szCs w:val="24"/>
          <w:lang w:eastAsia="it-IT"/>
        </w:rPr>
        <w:t xml:space="preserve">In relazione ad altri servizi, il cui costo è sostenuto dal Comune di </w:t>
      </w:r>
      <w:r w:rsidR="00E62848">
        <w:rPr>
          <w:rFonts w:cstheme="minorHAnsi"/>
          <w:sz w:val="24"/>
          <w:szCs w:val="24"/>
          <w:lang w:eastAsia="it-IT"/>
        </w:rPr>
        <w:t>Altidona</w:t>
      </w:r>
      <w:r w:rsidRPr="003D488A">
        <w:rPr>
          <w:rFonts w:cstheme="minorHAnsi"/>
          <w:sz w:val="24"/>
          <w:szCs w:val="24"/>
          <w:lang w:eastAsia="it-IT"/>
        </w:rPr>
        <w:t xml:space="preserve">, sebbene non afferenti all'ambito operativo </w:t>
      </w:r>
      <w:r w:rsidRPr="003D488A">
        <w:rPr>
          <w:rFonts w:cstheme="minorHAnsi"/>
          <w:sz w:val="24"/>
          <w:szCs w:val="24"/>
          <w:highlight w:val="yellow"/>
          <w:lang w:eastAsia="it-IT"/>
        </w:rPr>
        <w:t>dell'Ufficio Tributi</w:t>
      </w:r>
      <w:r w:rsidRPr="003D488A">
        <w:rPr>
          <w:rFonts w:cstheme="minorHAnsi"/>
          <w:sz w:val="24"/>
          <w:szCs w:val="24"/>
          <w:lang w:eastAsia="it-IT"/>
        </w:rPr>
        <w:t>, non si rilevano variazioni attese relative al perimetro gestionale.</w:t>
      </w:r>
    </w:p>
    <w:p w14:paraId="01B0EE2A" w14:textId="77777777" w:rsidR="00E62848" w:rsidRDefault="00E62848" w:rsidP="00E62848">
      <w:pPr>
        <w:pStyle w:val="Paragrafoelenco"/>
        <w:spacing w:line="276" w:lineRule="auto"/>
        <w:ind w:left="0"/>
        <w:contextualSpacing w:val="0"/>
        <w:jc w:val="both"/>
        <w:rPr>
          <w:rFonts w:cstheme="minorHAnsi"/>
          <w:sz w:val="24"/>
          <w:szCs w:val="24"/>
          <w:lang w:eastAsia="it-IT"/>
        </w:rPr>
      </w:pPr>
      <w:r w:rsidRPr="00F028DF">
        <w:rPr>
          <w:rFonts w:cstheme="minorHAnsi"/>
          <w:sz w:val="24"/>
          <w:szCs w:val="24"/>
          <w:lang w:eastAsia="it-IT"/>
        </w:rPr>
        <w:t>Non si rende quindi necessaria la valorizzazione del coefficiente PG da parte dell'Ente Territorialmente Competente, né il riconoscimento di costi operativi incentivanti (COI).</w:t>
      </w:r>
    </w:p>
    <w:p w14:paraId="704AD3EC" w14:textId="77777777" w:rsidR="00E62848" w:rsidRDefault="00E62848" w:rsidP="00346FD3">
      <w:pPr>
        <w:pStyle w:val="Paragrafoelenco"/>
        <w:spacing w:line="276" w:lineRule="auto"/>
        <w:ind w:left="0"/>
        <w:contextualSpacing w:val="0"/>
        <w:jc w:val="both"/>
        <w:rPr>
          <w:rFonts w:cstheme="minorHAnsi"/>
          <w:sz w:val="24"/>
          <w:szCs w:val="24"/>
          <w:lang w:eastAsia="it-IT"/>
        </w:rPr>
      </w:pPr>
    </w:p>
    <w:p w14:paraId="66E48BA5" w14:textId="0FBAC92B" w:rsidR="00105CAC" w:rsidRPr="00703396" w:rsidRDefault="00105CAC" w:rsidP="00105CAC">
      <w:pPr>
        <w:pStyle w:val="Titolo3"/>
        <w:numPr>
          <w:ilvl w:val="0"/>
          <w:numId w:val="0"/>
        </w:numPr>
        <w:ind w:left="400" w:hanging="400"/>
        <w:rPr>
          <w:rFonts w:asciiTheme="minorHAnsi" w:hAnsiTheme="minorHAnsi" w:cstheme="minorHAnsi"/>
          <w:spacing w:val="0"/>
        </w:rPr>
      </w:pPr>
      <w:bookmarkStart w:id="10" w:name="_Toc101866058"/>
      <w:r w:rsidRPr="00703396">
        <w:rPr>
          <w:rFonts w:asciiTheme="minorHAnsi" w:hAnsiTheme="minorHAnsi" w:cstheme="minorHAnsi"/>
          <w:spacing w:val="0"/>
        </w:rPr>
        <w:t>3.1.2 Dati tecnici e di qualità</w:t>
      </w:r>
      <w:bookmarkEnd w:id="10"/>
    </w:p>
    <w:p w14:paraId="405F690F" w14:textId="7DB0286C" w:rsidR="00105CAC" w:rsidRDefault="00105CAC" w:rsidP="00105CAC">
      <w:pPr>
        <w:pStyle w:val="Paragrafoelenco"/>
        <w:spacing w:line="276" w:lineRule="auto"/>
        <w:ind w:left="0"/>
        <w:contextualSpacing w:val="0"/>
        <w:jc w:val="both"/>
        <w:rPr>
          <w:rFonts w:cstheme="minorHAnsi"/>
          <w:sz w:val="24"/>
          <w:szCs w:val="24"/>
          <w:highlight w:val="green"/>
          <w:lang w:eastAsia="it-IT"/>
        </w:rPr>
      </w:pPr>
      <w:r w:rsidRPr="0035186C">
        <w:rPr>
          <w:rFonts w:cstheme="minorHAnsi"/>
          <w:sz w:val="24"/>
          <w:szCs w:val="24"/>
          <w:lang w:eastAsia="it-IT"/>
        </w:rPr>
        <w:t xml:space="preserve">In relazione ai servizi forniti dal Gestore </w:t>
      </w:r>
      <w:r w:rsidRPr="00703396">
        <w:rPr>
          <w:rFonts w:cstheme="minorHAnsi"/>
          <w:sz w:val="24"/>
          <w:szCs w:val="24"/>
          <w:highlight w:val="yellow"/>
          <w:lang w:eastAsia="it-IT"/>
        </w:rPr>
        <w:t>Ufficio Tributi (Gestione della Tariffa e Rapporto con gli Utenti)</w:t>
      </w:r>
      <w:r w:rsidRPr="0035186C">
        <w:rPr>
          <w:rFonts w:cstheme="minorHAnsi"/>
          <w:sz w:val="24"/>
          <w:szCs w:val="24"/>
          <w:lang w:eastAsia="it-IT"/>
        </w:rPr>
        <w:t xml:space="preserve">, con riferimento a ciascuna annualità del periodo 2022-2025, non si rilevano variazioni attese delle caratteristiche del servizio che interessano le attività dallo stesso erogate. </w:t>
      </w:r>
    </w:p>
    <w:p w14:paraId="6A0BB39D" w14:textId="37F6328E" w:rsidR="009D76CB" w:rsidRPr="0035186C" w:rsidRDefault="009D76CB" w:rsidP="00105CAC">
      <w:pPr>
        <w:pStyle w:val="Paragrafoelenco"/>
        <w:spacing w:line="276" w:lineRule="auto"/>
        <w:ind w:left="0"/>
        <w:contextualSpacing w:val="0"/>
        <w:jc w:val="both"/>
        <w:rPr>
          <w:rFonts w:cstheme="minorHAnsi"/>
          <w:sz w:val="24"/>
          <w:szCs w:val="24"/>
          <w:lang w:eastAsia="it-IT"/>
        </w:rPr>
      </w:pPr>
      <w:r w:rsidRPr="0035186C">
        <w:rPr>
          <w:rFonts w:cstheme="minorHAnsi"/>
          <w:sz w:val="24"/>
          <w:szCs w:val="24"/>
          <w:lang w:eastAsia="it-IT"/>
        </w:rPr>
        <w:t xml:space="preserve">In relazione ad altri servizi, il cui costo è sostenuto dal Comune di </w:t>
      </w:r>
      <w:r w:rsidR="0035186C" w:rsidRPr="0035186C">
        <w:rPr>
          <w:rFonts w:cstheme="minorHAnsi"/>
          <w:sz w:val="24"/>
          <w:szCs w:val="24"/>
          <w:lang w:eastAsia="it-IT"/>
        </w:rPr>
        <w:t>Altidona</w:t>
      </w:r>
      <w:r w:rsidRPr="0035186C">
        <w:rPr>
          <w:rFonts w:cstheme="minorHAnsi"/>
          <w:sz w:val="24"/>
          <w:szCs w:val="24"/>
          <w:lang w:eastAsia="it-IT"/>
        </w:rPr>
        <w:t xml:space="preserve">, sebbene non afferenti all'ambito operativo </w:t>
      </w:r>
      <w:r w:rsidRPr="0035186C">
        <w:rPr>
          <w:rFonts w:cstheme="minorHAnsi"/>
          <w:sz w:val="24"/>
          <w:szCs w:val="24"/>
          <w:highlight w:val="yellow"/>
          <w:lang w:eastAsia="it-IT"/>
        </w:rPr>
        <w:t>dell'Ufficio Tributi</w:t>
      </w:r>
      <w:r w:rsidRPr="0035186C">
        <w:rPr>
          <w:rFonts w:cstheme="minorHAnsi"/>
          <w:sz w:val="24"/>
          <w:szCs w:val="24"/>
          <w:lang w:eastAsia="it-IT"/>
        </w:rPr>
        <w:t>, non si rilevano variazioni attese relative alle caratteristiche qualitative del servizio.</w:t>
      </w:r>
    </w:p>
    <w:p w14:paraId="4F01204E" w14:textId="55592972" w:rsidR="003D488A" w:rsidRPr="00703396" w:rsidRDefault="003D488A" w:rsidP="00105CAC">
      <w:pPr>
        <w:pStyle w:val="Paragrafoelenco"/>
        <w:spacing w:line="276" w:lineRule="auto"/>
        <w:ind w:left="0"/>
        <w:contextualSpacing w:val="0"/>
        <w:jc w:val="both"/>
        <w:rPr>
          <w:rFonts w:cstheme="minorHAnsi"/>
          <w:sz w:val="24"/>
          <w:szCs w:val="24"/>
          <w:lang w:eastAsia="it-IT"/>
        </w:rPr>
      </w:pPr>
      <w:r w:rsidRPr="003D488A">
        <w:rPr>
          <w:rFonts w:cstheme="minorHAnsi"/>
          <w:sz w:val="24"/>
          <w:szCs w:val="24"/>
          <w:lang w:eastAsia="it-IT"/>
        </w:rPr>
        <w:t xml:space="preserve">In merito all'adeguamento ai nuovi standard minimi di qualità, ARERA con Delibera 15/2022/R/Rif e relativo allegato A ha adottato il Testo unico per la regolazione della qualità del servizio di gestione dei rifiuti urbani (TQRIF), che prevede l’introduzione, dal 1° gennaio 2023, di un set di obblighi di servizio di qualità dall’Ente Territorialmente Competente in considerazione di quanto previsto nel Contratto di servizio contrattuale e tecnica, minimi ed omogenei per tutte le gestioni, che saranno affiancati da indicatori e da relativi standard generali, differenziati per quattro schemi regolatori, che dovranno essere individuati </w:t>
      </w:r>
      <w:r w:rsidR="002943BF">
        <w:rPr>
          <w:rFonts w:cstheme="minorHAnsi"/>
          <w:sz w:val="24"/>
          <w:szCs w:val="24"/>
          <w:lang w:eastAsia="it-IT"/>
        </w:rPr>
        <w:t xml:space="preserve">sulla base del Contratto di servizio </w:t>
      </w:r>
      <w:r w:rsidRPr="003D488A">
        <w:rPr>
          <w:rFonts w:cstheme="minorHAnsi"/>
          <w:sz w:val="24"/>
          <w:szCs w:val="24"/>
          <w:lang w:eastAsia="it-IT"/>
        </w:rPr>
        <w:t xml:space="preserve">/ Carta della Qualità del servizio vigenti. </w:t>
      </w:r>
      <w:r w:rsidR="00BF4E05" w:rsidRPr="00BF4E05">
        <w:rPr>
          <w:rFonts w:cstheme="minorHAnsi"/>
          <w:sz w:val="24"/>
          <w:szCs w:val="24"/>
          <w:lang w:eastAsia="it-IT"/>
        </w:rPr>
        <w:t>Alla data di compilazione della presente relazione, l’Ente Territorialmente Competente, attivo sul territorio, non ha fatto pervenire, al Comune scrivente, alcuna comunicazione in merito. Ad oggi quindi non si dispone di elementi sufficienti a determinare gli impatti in termini di attività e costi.</w:t>
      </w:r>
    </w:p>
    <w:p w14:paraId="68CE23F0" w14:textId="3011D785" w:rsidR="00105CAC" w:rsidRPr="00703396" w:rsidRDefault="00105CAC" w:rsidP="00105CAC">
      <w:pPr>
        <w:pStyle w:val="Paragrafoelenco"/>
        <w:spacing w:line="276" w:lineRule="auto"/>
        <w:ind w:left="0"/>
        <w:contextualSpacing w:val="0"/>
        <w:jc w:val="both"/>
        <w:rPr>
          <w:rFonts w:cstheme="minorHAnsi"/>
          <w:sz w:val="24"/>
          <w:szCs w:val="24"/>
          <w:lang w:eastAsia="it-IT"/>
        </w:rPr>
      </w:pPr>
      <w:r w:rsidRPr="00BF4E05">
        <w:rPr>
          <w:rFonts w:cstheme="minorHAnsi"/>
          <w:sz w:val="24"/>
          <w:szCs w:val="24"/>
          <w:lang w:eastAsia="it-IT"/>
        </w:rPr>
        <w:t>Non si rende quindi necessaria la valorizzazione del coefficiente QL da parte dell'Ente Territorialmente Competente, né il riconoscimento di costi operativi incentivanti (COI)</w:t>
      </w:r>
      <w:r w:rsidR="006D6647" w:rsidRPr="00BF4E05">
        <w:rPr>
          <w:rFonts w:cstheme="minorHAnsi"/>
          <w:sz w:val="24"/>
          <w:szCs w:val="24"/>
          <w:lang w:eastAsia="it-IT"/>
        </w:rPr>
        <w:t xml:space="preserve"> o altri costi di natura previsionale (CQ)</w:t>
      </w:r>
      <w:r w:rsidRPr="00BF4E05">
        <w:rPr>
          <w:rFonts w:cstheme="minorHAnsi"/>
          <w:sz w:val="24"/>
          <w:szCs w:val="24"/>
          <w:lang w:eastAsia="it-IT"/>
        </w:rPr>
        <w:t>.</w:t>
      </w:r>
    </w:p>
    <w:p w14:paraId="5613138D" w14:textId="77777777" w:rsidR="006D6647" w:rsidRPr="00703396" w:rsidRDefault="006D6647" w:rsidP="00105CAC">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lastRenderedPageBreak/>
        <w:t>In relazione all'esigenza di valorizzazione del coefficiente C116 per la copertura di costi di natura previsionale connessi agli scostamenti attesi riconducibili alle novità normative introdotte dal decreto legislativo n. 116/20, occorre rilevare che:</w:t>
      </w:r>
    </w:p>
    <w:p w14:paraId="3FA9F5D6" w14:textId="28122D58" w:rsidR="00560F0E" w:rsidRPr="00703396" w:rsidRDefault="006D6647" w:rsidP="00105CAC">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 xml:space="preserve">- </w:t>
      </w:r>
      <w:r w:rsidR="00560F0E" w:rsidRPr="00703396">
        <w:rPr>
          <w:rFonts w:cstheme="minorHAnsi"/>
          <w:sz w:val="24"/>
          <w:szCs w:val="24"/>
          <w:lang w:eastAsia="it-IT"/>
        </w:rPr>
        <w:t>dal confronto tra rifiuti speciali assimilati agli urbani ai sensi della disciplina normativa vigente fino all'anno 2020 e rifiuti urbani prodotti dalle utenze non domestiche a decorrere dall'anno 2021 non si riscontrano differenze tali da lasciar supporre un incremento/decremento di costi connesso alle maggiori/minori attività di raccolta e trasporto, trattamento e recupero/smaltimento;</w:t>
      </w:r>
    </w:p>
    <w:p w14:paraId="3785CDF4" w14:textId="585831A1" w:rsidR="006D6647" w:rsidRPr="00703396" w:rsidRDefault="00560F0E" w:rsidP="00560F0E">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 xml:space="preserve">- </w:t>
      </w:r>
      <w:r w:rsidR="00BF4E05" w:rsidRPr="00FF4585">
        <w:rPr>
          <w:rFonts w:cstheme="minorHAnsi"/>
          <w:sz w:val="24"/>
          <w:szCs w:val="24"/>
          <w:lang w:eastAsia="it-IT"/>
        </w:rPr>
        <w:t>non sono state presentate richieste di fuoriuscita dal servizio pubblico di raccolta entro i termini stabiliti dalla normativa.</w:t>
      </w:r>
    </w:p>
    <w:p w14:paraId="48802C04" w14:textId="77777777" w:rsidR="005D4DF6" w:rsidRPr="00703396" w:rsidRDefault="005D4DF6" w:rsidP="005D4DF6">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Non si rende quindi necessaria la valorizzazione del coefficiente C116, né tantomeno la determinazione di costi di natura previsionale connessi alle introduzioni del D. Lgs. 116/2020.</w:t>
      </w:r>
    </w:p>
    <w:p w14:paraId="1A4DC755" w14:textId="7AC0F813" w:rsidR="005D4DF6" w:rsidRPr="00703396" w:rsidRDefault="005D4DF6" w:rsidP="00B31767">
      <w:pPr>
        <w:pStyle w:val="Paragrafoelenco"/>
        <w:spacing w:line="276" w:lineRule="auto"/>
        <w:ind w:left="0"/>
        <w:contextualSpacing w:val="0"/>
        <w:jc w:val="both"/>
        <w:rPr>
          <w:rFonts w:cstheme="minorHAnsi"/>
          <w:sz w:val="24"/>
          <w:szCs w:val="24"/>
          <w:lang w:eastAsia="it-IT"/>
        </w:rPr>
      </w:pPr>
    </w:p>
    <w:p w14:paraId="42F045A2" w14:textId="16A89692" w:rsidR="005D4DF6" w:rsidRPr="00703396" w:rsidRDefault="005D4DF6" w:rsidP="005D4DF6">
      <w:pPr>
        <w:pStyle w:val="Titolo3"/>
        <w:numPr>
          <w:ilvl w:val="0"/>
          <w:numId w:val="0"/>
        </w:numPr>
        <w:ind w:left="400" w:hanging="400"/>
        <w:rPr>
          <w:rFonts w:asciiTheme="minorHAnsi" w:hAnsiTheme="minorHAnsi" w:cstheme="minorHAnsi"/>
          <w:spacing w:val="0"/>
        </w:rPr>
      </w:pPr>
      <w:bookmarkStart w:id="11" w:name="_Toc101866059"/>
      <w:r w:rsidRPr="00703396">
        <w:rPr>
          <w:rFonts w:asciiTheme="minorHAnsi" w:hAnsiTheme="minorHAnsi" w:cstheme="minorHAnsi"/>
          <w:spacing w:val="0"/>
        </w:rPr>
        <w:t xml:space="preserve">3.1.3 </w:t>
      </w:r>
      <w:r w:rsidR="00436B8A" w:rsidRPr="00703396">
        <w:rPr>
          <w:rFonts w:asciiTheme="minorHAnsi" w:hAnsiTheme="minorHAnsi" w:cstheme="minorHAnsi"/>
          <w:spacing w:val="0"/>
        </w:rPr>
        <w:t>Fonti di finanziamento</w:t>
      </w:r>
      <w:bookmarkEnd w:id="11"/>
    </w:p>
    <w:p w14:paraId="4376DC45" w14:textId="21E161A4" w:rsidR="005D4DF6" w:rsidRPr="00703396" w:rsidRDefault="005D4DF6" w:rsidP="005D4DF6">
      <w:pPr>
        <w:jc w:val="both"/>
        <w:rPr>
          <w:rFonts w:cstheme="minorHAnsi"/>
          <w:sz w:val="24"/>
          <w:szCs w:val="24"/>
          <w:lang w:eastAsia="it-IT"/>
        </w:rPr>
      </w:pPr>
      <w:r w:rsidRPr="00703396">
        <w:rPr>
          <w:rFonts w:cstheme="minorHAnsi"/>
          <w:sz w:val="24"/>
          <w:szCs w:val="24"/>
          <w:lang w:eastAsia="it-IT"/>
        </w:rPr>
        <w:t>Non si rilevano, con riferimento al</w:t>
      </w:r>
      <w:r w:rsidR="00436B8A" w:rsidRPr="00703396">
        <w:rPr>
          <w:rFonts w:cstheme="minorHAnsi"/>
          <w:sz w:val="24"/>
          <w:szCs w:val="24"/>
          <w:lang w:eastAsia="it-IT"/>
        </w:rPr>
        <w:t xml:space="preserve"> periodo 2022-2025 di competenza della presente relazione</w:t>
      </w:r>
      <w:r w:rsidRPr="00703396">
        <w:rPr>
          <w:rFonts w:cstheme="minorHAnsi"/>
          <w:sz w:val="24"/>
          <w:szCs w:val="24"/>
          <w:lang w:eastAsia="it-IT"/>
        </w:rPr>
        <w:t xml:space="preserve">, operazioni finanziarie relative alla gestione della Tassa Rifiuti. </w:t>
      </w:r>
    </w:p>
    <w:p w14:paraId="0BF7FB78" w14:textId="1CF03025" w:rsidR="005D4DF6" w:rsidRPr="00703396" w:rsidRDefault="005D4DF6" w:rsidP="00B31767">
      <w:pPr>
        <w:pStyle w:val="Paragrafoelenco"/>
        <w:spacing w:line="276" w:lineRule="auto"/>
        <w:ind w:left="0"/>
        <w:contextualSpacing w:val="0"/>
        <w:jc w:val="both"/>
        <w:rPr>
          <w:rFonts w:cstheme="minorHAnsi"/>
          <w:sz w:val="24"/>
          <w:szCs w:val="24"/>
          <w:lang w:eastAsia="it-IT"/>
        </w:rPr>
      </w:pPr>
    </w:p>
    <w:p w14:paraId="03BF2B64" w14:textId="465E0101" w:rsidR="00436B8A" w:rsidRPr="00703396" w:rsidRDefault="00436B8A" w:rsidP="00436B8A">
      <w:pPr>
        <w:pStyle w:val="Titolo2"/>
        <w:rPr>
          <w:rFonts w:asciiTheme="minorHAnsi" w:hAnsiTheme="minorHAnsi" w:cstheme="minorHAnsi"/>
        </w:rPr>
      </w:pPr>
      <w:bookmarkStart w:id="12" w:name="_Toc101866060"/>
      <w:r w:rsidRPr="00703396">
        <w:rPr>
          <w:rFonts w:asciiTheme="minorHAnsi" w:hAnsiTheme="minorHAnsi" w:cstheme="minorHAnsi"/>
        </w:rPr>
        <w:t>3.2 Dati per la determinazione delle entrate di riferimento</w:t>
      </w:r>
      <w:bookmarkEnd w:id="12"/>
    </w:p>
    <w:p w14:paraId="7ABC130B" w14:textId="5BBB6502" w:rsidR="00436B8A" w:rsidRPr="00703396" w:rsidRDefault="00436B8A" w:rsidP="00436B8A">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 xml:space="preserve">Il PEF redatto in conformità al modello di cui alla determina 2/DRIF/2021 sintetizza tutte le informazioni e i dati rilevanti per la determinazione delle entrate tariffarie relative all’ambito tariffario del Comune di </w:t>
      </w:r>
      <w:r w:rsidR="006E2E15">
        <w:rPr>
          <w:rFonts w:cstheme="minorHAnsi"/>
          <w:sz w:val="24"/>
          <w:szCs w:val="24"/>
          <w:lang w:eastAsia="it-IT"/>
        </w:rPr>
        <w:t>Altidona</w:t>
      </w:r>
      <w:r w:rsidRPr="00703396">
        <w:rPr>
          <w:rFonts w:cstheme="minorHAnsi"/>
          <w:sz w:val="24"/>
          <w:szCs w:val="24"/>
          <w:lang w:eastAsia="it-IT"/>
        </w:rPr>
        <w:t xml:space="preserve"> e a ciascuno degli anni del periodo regolatorio 2022-2025, in coerenza con i criteri disposti dal MTR-2. Tali dati sono imputati da ciascun gestore (ivi incluso il Comune che gestisce in economia la Gestione della Tariffa e il Rapporto con gli Utenti), per quanto di propria competenza, sulla base della disciplina contenuta nell’articolo 7, comma 2, del MTR-2, che dispone:</w:t>
      </w:r>
    </w:p>
    <w:p w14:paraId="5698F5CC" w14:textId="77777777" w:rsidR="00436B8A" w:rsidRPr="00703396" w:rsidRDefault="00436B8A" w:rsidP="00436B8A">
      <w:pPr>
        <w:pStyle w:val="Paragrafoelenco"/>
        <w:spacing w:line="276" w:lineRule="auto"/>
        <w:ind w:left="0"/>
        <w:jc w:val="both"/>
        <w:rPr>
          <w:rFonts w:cstheme="minorHAnsi"/>
          <w:i/>
          <w:iCs/>
          <w:sz w:val="24"/>
          <w:szCs w:val="24"/>
          <w:lang w:eastAsia="it-IT"/>
        </w:rPr>
      </w:pPr>
      <w:r w:rsidRPr="00703396">
        <w:rPr>
          <w:rFonts w:cstheme="minorHAnsi"/>
          <w:sz w:val="24"/>
          <w:szCs w:val="24"/>
          <w:lang w:eastAsia="it-IT"/>
        </w:rPr>
        <w:t>"</w:t>
      </w:r>
      <w:r w:rsidRPr="00703396">
        <w:rPr>
          <w:rFonts w:cstheme="minorHAnsi"/>
          <w:i/>
          <w:iCs/>
          <w:sz w:val="24"/>
          <w:szCs w:val="24"/>
          <w:lang w:eastAsia="it-IT"/>
        </w:rPr>
        <w:t xml:space="preserve">I costi efficienti di esercizio e di investimento riconosciuti per ciascun anno </w:t>
      </w:r>
      <w:r w:rsidRPr="00703396">
        <w:rPr>
          <w:rFonts w:ascii="Cambria Math" w:hAnsi="Cambria Math" w:cs="Cambria Math"/>
          <w:i/>
          <w:iCs/>
          <w:sz w:val="24"/>
          <w:szCs w:val="24"/>
          <w:lang w:eastAsia="it-IT"/>
        </w:rPr>
        <w:t>𝑎</w:t>
      </w:r>
      <w:r w:rsidRPr="00703396">
        <w:rPr>
          <w:rFonts w:cstheme="minorHAnsi"/>
          <w:i/>
          <w:iCs/>
          <w:sz w:val="24"/>
          <w:szCs w:val="24"/>
          <w:lang w:eastAsia="it-IT"/>
        </w:rPr>
        <w:t xml:space="preserve"> = {2022,2023,2024,2025} per il servizio del ciclo integrato, salvo che per le componenti per le quali siano esplicitamente ammessi valori previsionali, sono determinati:</w:t>
      </w:r>
    </w:p>
    <w:p w14:paraId="451A799C" w14:textId="77777777" w:rsidR="00436B8A" w:rsidRPr="00703396" w:rsidRDefault="00436B8A" w:rsidP="00436B8A">
      <w:pPr>
        <w:pStyle w:val="Paragrafoelenco"/>
        <w:spacing w:line="276" w:lineRule="auto"/>
        <w:ind w:left="0"/>
        <w:jc w:val="both"/>
        <w:rPr>
          <w:rFonts w:cstheme="minorHAnsi"/>
          <w:i/>
          <w:iCs/>
          <w:sz w:val="24"/>
          <w:szCs w:val="24"/>
          <w:lang w:eastAsia="it-IT"/>
        </w:rPr>
      </w:pPr>
      <w:r w:rsidRPr="00703396">
        <w:rPr>
          <w:rFonts w:cstheme="minorHAnsi"/>
          <w:i/>
          <w:iCs/>
          <w:sz w:val="24"/>
          <w:szCs w:val="24"/>
          <w:lang w:eastAsia="it-IT"/>
        </w:rPr>
        <w:t>• per l’anno 2022 sulla base di quelli effettivi rilevati nell’anno di riferimento (a-2) come risultanti da fonti contabili obbligatorie;</w:t>
      </w:r>
    </w:p>
    <w:p w14:paraId="3279269D" w14:textId="77777777" w:rsidR="00436B8A" w:rsidRPr="00703396" w:rsidRDefault="00436B8A" w:rsidP="00436B8A">
      <w:pPr>
        <w:pStyle w:val="Paragrafoelenco"/>
        <w:spacing w:line="276" w:lineRule="auto"/>
        <w:ind w:left="0"/>
        <w:jc w:val="both"/>
        <w:rPr>
          <w:rFonts w:cstheme="minorHAnsi"/>
          <w:i/>
          <w:iCs/>
          <w:sz w:val="24"/>
          <w:szCs w:val="24"/>
          <w:lang w:eastAsia="it-IT"/>
        </w:rPr>
      </w:pPr>
      <w:r w:rsidRPr="00703396">
        <w:rPr>
          <w:rFonts w:cstheme="minorHAnsi"/>
          <w:i/>
          <w:iCs/>
          <w:sz w:val="24"/>
          <w:szCs w:val="24"/>
          <w:lang w:eastAsia="it-IT"/>
        </w:rPr>
        <w:t>• per gli anni 2023, 2024 e 2025, in sede di prima approvazione:</w:t>
      </w:r>
    </w:p>
    <w:p w14:paraId="6CCB3384" w14:textId="77777777" w:rsidR="00436B8A" w:rsidRPr="00703396" w:rsidRDefault="00436B8A" w:rsidP="00436B8A">
      <w:pPr>
        <w:pStyle w:val="Paragrafoelenco"/>
        <w:spacing w:line="276" w:lineRule="auto"/>
        <w:ind w:left="0"/>
        <w:jc w:val="both"/>
        <w:rPr>
          <w:rFonts w:cstheme="minorHAnsi"/>
          <w:i/>
          <w:iCs/>
          <w:sz w:val="24"/>
          <w:szCs w:val="24"/>
          <w:lang w:eastAsia="it-IT"/>
        </w:rPr>
      </w:pPr>
      <w:r w:rsidRPr="00703396">
        <w:rPr>
          <w:rFonts w:cstheme="minorHAnsi"/>
          <w:i/>
          <w:iCs/>
          <w:sz w:val="24"/>
          <w:szCs w:val="24"/>
          <w:lang w:eastAsia="it-IT"/>
        </w:rPr>
        <w:t>- con riferimento ai costi d’esercizio, sulla base dei dati di bilancio o di preconsuntivo relativi all’anno 2021 o, in mancanza, con quelli dell’ultimo bilancio disponibile;</w:t>
      </w:r>
    </w:p>
    <w:p w14:paraId="4A845107" w14:textId="77777777" w:rsidR="00436B8A" w:rsidRPr="00703396" w:rsidRDefault="00436B8A" w:rsidP="00436B8A">
      <w:pPr>
        <w:pStyle w:val="Paragrafoelenco"/>
        <w:spacing w:line="276" w:lineRule="auto"/>
        <w:ind w:left="0"/>
        <w:jc w:val="both"/>
        <w:rPr>
          <w:rFonts w:cstheme="minorHAnsi"/>
          <w:i/>
          <w:iCs/>
          <w:sz w:val="24"/>
          <w:szCs w:val="24"/>
          <w:lang w:eastAsia="it-IT"/>
        </w:rPr>
      </w:pPr>
      <w:r w:rsidRPr="00703396">
        <w:rPr>
          <w:rFonts w:cstheme="minorHAnsi"/>
          <w:i/>
          <w:iCs/>
          <w:sz w:val="24"/>
          <w:szCs w:val="24"/>
          <w:lang w:eastAsia="it-IT"/>
        </w:rPr>
        <w:t>- con riferimento ai costi d’investimento: i) per l’anno 2023 sulla base dei dati di bilancio o di preconsuntivo relativi all’anno 2021 o, in mancanza, con quelli dell’ultimo bilancio disponibile; ii) per gli anni 2024 e 2025, assumendo la completa realizzazione degli interventi programmati, secondo quanto precisato al successivo comma 13.5, considerato che l’investimento realizzato nell’anno a rileva ai fini tariffari nell’anno (a+2).</w:t>
      </w:r>
    </w:p>
    <w:p w14:paraId="707134A9" w14:textId="2ED3C364" w:rsidR="00436B8A" w:rsidRPr="00703396" w:rsidRDefault="00436B8A" w:rsidP="00436B8A">
      <w:pPr>
        <w:pStyle w:val="Paragrafoelenco"/>
        <w:spacing w:line="276" w:lineRule="auto"/>
        <w:ind w:left="0"/>
        <w:contextualSpacing w:val="0"/>
        <w:jc w:val="both"/>
        <w:rPr>
          <w:rFonts w:cstheme="minorHAnsi"/>
          <w:sz w:val="24"/>
          <w:szCs w:val="24"/>
          <w:lang w:eastAsia="it-IT"/>
        </w:rPr>
      </w:pPr>
      <w:r w:rsidRPr="00703396">
        <w:rPr>
          <w:rFonts w:cstheme="minorHAnsi"/>
          <w:i/>
          <w:iCs/>
          <w:sz w:val="24"/>
          <w:szCs w:val="24"/>
          <w:lang w:eastAsia="it-IT"/>
        </w:rPr>
        <w:lastRenderedPageBreak/>
        <w:t>In sede di aggiornamento biennale, le componenti di costo saranno riallineate ai dati risultanti da fonti contabili obbligatorie dell’anno (a-2)</w:t>
      </w:r>
      <w:r w:rsidRPr="00703396">
        <w:rPr>
          <w:rFonts w:cstheme="minorHAnsi"/>
          <w:sz w:val="24"/>
          <w:szCs w:val="24"/>
          <w:lang w:eastAsia="it-IT"/>
        </w:rPr>
        <w:t>".</w:t>
      </w:r>
    </w:p>
    <w:p w14:paraId="0CFBA72D" w14:textId="08155F70" w:rsidR="008213A0" w:rsidRDefault="008213A0" w:rsidP="00436B8A">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Per quanto riguarda la valorizzazione delle voci relative all’IVA indetraibile, nel presente documento sono inserite le risultanze che attengono all’imposta calcolata sui costi sostenuti dal Comune. Per l’IVA indetraibile sui costi del Gestore si ritiene coerente inserire la stessa così come derivante dall’applicazione delle regole stabilite per l’identificazione dei costi efficienti dal MTR-2; pertanto si rinvia alla predisposizione del PEF unitario – che avverrà a cura dell’Ente Territorialmente Competente – l’inserimento di tale dato all’interno del tool.</w:t>
      </w:r>
    </w:p>
    <w:p w14:paraId="57D0AC45" w14:textId="77777777" w:rsidR="00FD5D3C" w:rsidRPr="00A2114A" w:rsidRDefault="00FD5D3C" w:rsidP="00FD5D3C">
      <w:pPr>
        <w:spacing w:line="276" w:lineRule="auto"/>
        <w:jc w:val="both"/>
        <w:rPr>
          <w:rFonts w:cstheme="minorHAnsi"/>
          <w:b/>
          <w:bCs/>
          <w:sz w:val="24"/>
          <w:szCs w:val="24"/>
          <w:lang w:eastAsia="it-IT"/>
        </w:rPr>
      </w:pPr>
      <w:r w:rsidRPr="00A2114A">
        <w:rPr>
          <w:rFonts w:cstheme="minorHAnsi"/>
          <w:b/>
          <w:bCs/>
          <w:sz w:val="24"/>
          <w:szCs w:val="24"/>
        </w:rPr>
        <w:t>Richiamato l’art. 7.2 dell’allegato A alla Deliberazione 363/2021/R/Rif, il Gestore scrivente ha provveduto alla compilazione del foglio “IN_Bil_Com_21” replicando gli stessi importi già inseriti per l’anno 2020, con l’aggiunta della rivalutazione inflazionistica. La motivazione di questa scelta risiede nel fatto che, sebbene ARERA richieda i dati del preconsuntivo, essi non sono ancora nella disponibilità del Comune che si appresta ad approvarli entro il 30 aprile p.v.: pertanto, in assenza di ulteriori dati certi, il Comune sceglie di esporre gli ultimi effettivamente disponibili relativi, in questo caso, al bilancio 2020.</w:t>
      </w:r>
    </w:p>
    <w:p w14:paraId="36FB0A8E" w14:textId="77777777" w:rsidR="00FD5D3C" w:rsidRPr="00703396" w:rsidRDefault="00FD5D3C" w:rsidP="00436B8A">
      <w:pPr>
        <w:pStyle w:val="Paragrafoelenco"/>
        <w:spacing w:line="276" w:lineRule="auto"/>
        <w:ind w:left="0"/>
        <w:contextualSpacing w:val="0"/>
        <w:jc w:val="both"/>
        <w:rPr>
          <w:rFonts w:cstheme="minorHAnsi"/>
          <w:sz w:val="24"/>
          <w:szCs w:val="24"/>
          <w:lang w:eastAsia="it-IT"/>
        </w:rPr>
      </w:pPr>
    </w:p>
    <w:p w14:paraId="770966BC" w14:textId="5B692183" w:rsidR="00436B8A" w:rsidRPr="00703396" w:rsidRDefault="00436B8A" w:rsidP="00436B8A">
      <w:pPr>
        <w:pStyle w:val="Titolo3"/>
        <w:numPr>
          <w:ilvl w:val="0"/>
          <w:numId w:val="0"/>
        </w:numPr>
        <w:ind w:left="400" w:hanging="400"/>
        <w:rPr>
          <w:rFonts w:asciiTheme="minorHAnsi" w:hAnsiTheme="minorHAnsi" w:cstheme="minorHAnsi"/>
          <w:spacing w:val="0"/>
        </w:rPr>
      </w:pPr>
      <w:bookmarkStart w:id="13" w:name="_Toc101866061"/>
      <w:r w:rsidRPr="00703396">
        <w:rPr>
          <w:rFonts w:asciiTheme="minorHAnsi" w:hAnsiTheme="minorHAnsi" w:cstheme="minorHAnsi"/>
          <w:spacing w:val="0"/>
        </w:rPr>
        <w:t>3.2.1 Dati di conto economico</w:t>
      </w:r>
      <w:bookmarkEnd w:id="13"/>
    </w:p>
    <w:p w14:paraId="3050ABD3" w14:textId="1478BC95" w:rsidR="00436B8A" w:rsidRPr="00703396" w:rsidRDefault="00AA20E6" w:rsidP="00B31767">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 xml:space="preserve">Con riferimento a ciascun anno </w:t>
      </w:r>
      <w:r w:rsidRPr="00703396">
        <w:rPr>
          <w:rFonts w:cstheme="minorHAnsi"/>
          <w:i/>
          <w:iCs/>
          <w:sz w:val="24"/>
          <w:szCs w:val="24"/>
          <w:lang w:eastAsia="it-IT"/>
        </w:rPr>
        <w:t>a</w:t>
      </w:r>
      <w:r w:rsidRPr="00703396">
        <w:rPr>
          <w:rFonts w:cstheme="minorHAnsi"/>
          <w:sz w:val="24"/>
          <w:szCs w:val="24"/>
          <w:lang w:eastAsia="it-IT"/>
        </w:rPr>
        <w:t xml:space="preserve">, le componenti di costo riportate nel presente PEF non vengono riconciliate con la somma dei costi effettivamente sostenuti dal gestore inteso come Comune di </w:t>
      </w:r>
      <w:r w:rsidR="00E750F3">
        <w:rPr>
          <w:rFonts w:cstheme="minorHAnsi"/>
          <w:sz w:val="24"/>
          <w:szCs w:val="24"/>
          <w:lang w:eastAsia="it-IT"/>
        </w:rPr>
        <w:t>Altidona</w:t>
      </w:r>
      <w:r w:rsidRPr="00703396">
        <w:rPr>
          <w:rFonts w:cstheme="minorHAnsi"/>
          <w:sz w:val="24"/>
          <w:szCs w:val="24"/>
          <w:lang w:eastAsia="it-IT"/>
        </w:rPr>
        <w:t>, dal momento che quelli rilevanti ai fini dell'applicazione del MTR-2 costituiscono componente abbondantemente minoritaria e sarebbe impensabile riportare nel presente paragrafo lo sviluppo complessivo dei costi presenti nel bilancio dell'ente.</w:t>
      </w:r>
    </w:p>
    <w:p w14:paraId="26FD0AD3" w14:textId="44C438FE" w:rsidR="00436B8A" w:rsidRPr="00703396" w:rsidRDefault="00AA20E6" w:rsidP="00B31767">
      <w:pPr>
        <w:pStyle w:val="Paragrafoelenco"/>
        <w:spacing w:line="276" w:lineRule="auto"/>
        <w:ind w:left="0"/>
        <w:contextualSpacing w:val="0"/>
        <w:jc w:val="both"/>
        <w:rPr>
          <w:rFonts w:cstheme="minorHAnsi"/>
          <w:sz w:val="24"/>
          <w:szCs w:val="24"/>
          <w:lang w:eastAsia="it-IT"/>
        </w:rPr>
      </w:pPr>
      <w:r w:rsidRPr="00703396">
        <w:rPr>
          <w:rFonts w:cstheme="minorHAnsi"/>
          <w:sz w:val="24"/>
          <w:szCs w:val="24"/>
          <w:lang w:eastAsia="it-IT"/>
        </w:rPr>
        <w:t xml:space="preserve">Nelle successive tabelle sono tuttavia rappresentati </w:t>
      </w:r>
      <w:r w:rsidR="00227B88" w:rsidRPr="00703396">
        <w:rPr>
          <w:rFonts w:cstheme="minorHAnsi"/>
          <w:sz w:val="24"/>
          <w:szCs w:val="24"/>
          <w:lang w:eastAsia="it-IT"/>
        </w:rPr>
        <w:t>i criteri e gli eventuali driver utilizzati per l’allocazione dei dati alle pertinenti componenti di costo variabile e fisso di cui al MTR-2.</w:t>
      </w:r>
    </w:p>
    <w:p w14:paraId="311588CB" w14:textId="6649E95F" w:rsidR="00227B88" w:rsidRPr="00703396" w:rsidRDefault="00227B88" w:rsidP="00227B88">
      <w:pPr>
        <w:jc w:val="both"/>
        <w:rPr>
          <w:rFonts w:cstheme="minorHAnsi"/>
          <w:sz w:val="24"/>
          <w:szCs w:val="24"/>
          <w:lang w:eastAsia="it-IT"/>
        </w:rPr>
      </w:pPr>
      <w:r w:rsidRPr="00EC60BD">
        <w:rPr>
          <w:rFonts w:cstheme="minorHAnsi"/>
          <w:sz w:val="24"/>
          <w:szCs w:val="24"/>
          <w:lang w:eastAsia="it-IT"/>
        </w:rPr>
        <w:t xml:space="preserve">Per quanto concerne i costi connessi alle attività di raccolta, trasporto, smaltimento e recupero dei rifiuti, il Comune non sostiene costi diversi da quelli riconosciuti al gestore affidatario </w:t>
      </w:r>
      <w:r w:rsidR="00EC60BD" w:rsidRPr="00EC60BD">
        <w:rPr>
          <w:rFonts w:cstheme="minorHAnsi"/>
          <w:sz w:val="24"/>
          <w:szCs w:val="24"/>
          <w:lang w:eastAsia="it-IT"/>
        </w:rPr>
        <w:t>Rieco S.p.A.</w:t>
      </w:r>
      <w:r w:rsidRPr="00EC60BD">
        <w:rPr>
          <w:rFonts w:cstheme="minorHAnsi"/>
          <w:sz w:val="24"/>
          <w:szCs w:val="24"/>
          <w:lang w:eastAsia="it-IT"/>
        </w:rPr>
        <w:t>; per questo motivo di seguito non sono state valorizzate le voci riferite alle sigle CRT, CRD, CTR</w:t>
      </w:r>
      <w:r w:rsidR="00EC60BD" w:rsidRPr="00EC60BD">
        <w:rPr>
          <w:rFonts w:cstheme="minorHAnsi"/>
          <w:sz w:val="24"/>
          <w:szCs w:val="24"/>
          <w:lang w:eastAsia="it-IT"/>
        </w:rPr>
        <w:t xml:space="preserve"> e</w:t>
      </w:r>
      <w:r w:rsidRPr="00EC60BD">
        <w:rPr>
          <w:rFonts w:cstheme="minorHAnsi"/>
          <w:sz w:val="24"/>
          <w:szCs w:val="24"/>
          <w:lang w:eastAsia="it-IT"/>
        </w:rPr>
        <w:t xml:space="preserve"> CTS di cui alla Deliberazione ARERA </w:t>
      </w:r>
      <w:r w:rsidR="00286C45" w:rsidRPr="00EC60BD">
        <w:rPr>
          <w:rFonts w:cstheme="minorHAnsi"/>
          <w:sz w:val="24"/>
          <w:szCs w:val="24"/>
          <w:lang w:eastAsia="it-IT"/>
        </w:rPr>
        <w:t>36</w:t>
      </w:r>
      <w:r w:rsidRPr="00EC60BD">
        <w:rPr>
          <w:rFonts w:cstheme="minorHAnsi"/>
          <w:sz w:val="24"/>
          <w:szCs w:val="24"/>
          <w:lang w:eastAsia="it-IT"/>
        </w:rPr>
        <w:t>3/20</w:t>
      </w:r>
      <w:r w:rsidR="00286C45" w:rsidRPr="00EC60BD">
        <w:rPr>
          <w:rFonts w:cstheme="minorHAnsi"/>
          <w:sz w:val="24"/>
          <w:szCs w:val="24"/>
          <w:lang w:eastAsia="it-IT"/>
        </w:rPr>
        <w:t>2</w:t>
      </w:r>
      <w:r w:rsidRPr="00EC60BD">
        <w:rPr>
          <w:rFonts w:cstheme="minorHAnsi"/>
          <w:sz w:val="24"/>
          <w:szCs w:val="24"/>
          <w:lang w:eastAsia="it-IT"/>
        </w:rPr>
        <w:t>1.</w:t>
      </w:r>
    </w:p>
    <w:p w14:paraId="1D7ADE05" w14:textId="43742B4D" w:rsidR="00227B88" w:rsidRDefault="00227B88" w:rsidP="00227B88">
      <w:pPr>
        <w:jc w:val="both"/>
        <w:rPr>
          <w:rFonts w:cstheme="minorHAnsi"/>
          <w:sz w:val="24"/>
          <w:szCs w:val="24"/>
          <w:lang w:eastAsia="it-IT"/>
        </w:rPr>
      </w:pPr>
      <w:r w:rsidRPr="00CB2C10">
        <w:rPr>
          <w:rFonts w:cstheme="minorHAnsi"/>
          <w:sz w:val="24"/>
          <w:szCs w:val="24"/>
          <w:lang w:eastAsia="it-IT"/>
        </w:rPr>
        <w:t>Dal momento che non si rilevano crediti inesigibili stralciati dal rendiconto 20</w:t>
      </w:r>
      <w:r w:rsidR="00286C45" w:rsidRPr="00CB2C10">
        <w:rPr>
          <w:rFonts w:cstheme="minorHAnsi"/>
          <w:sz w:val="24"/>
          <w:szCs w:val="24"/>
          <w:lang w:eastAsia="it-IT"/>
        </w:rPr>
        <w:t>20</w:t>
      </w:r>
      <w:r w:rsidRPr="00CB2C10">
        <w:rPr>
          <w:rFonts w:cstheme="minorHAnsi"/>
          <w:sz w:val="24"/>
          <w:szCs w:val="24"/>
          <w:lang w:eastAsia="it-IT"/>
        </w:rPr>
        <w:t>, la quota di costo a titolo di Costi Comuni Diversi (CCD) è pari a 0,00 €.</w:t>
      </w:r>
    </w:p>
    <w:p w14:paraId="5AADEF54" w14:textId="45B454F1" w:rsidR="00BA792B" w:rsidRDefault="00BA792B" w:rsidP="00227B88">
      <w:pPr>
        <w:jc w:val="both"/>
        <w:rPr>
          <w:rFonts w:cstheme="minorHAnsi"/>
          <w:sz w:val="24"/>
          <w:szCs w:val="24"/>
          <w:lang w:eastAsia="it-IT"/>
        </w:rPr>
      </w:pPr>
    </w:p>
    <w:p w14:paraId="322B8E93" w14:textId="4C095BE4" w:rsidR="00BA792B" w:rsidRDefault="00BA792B" w:rsidP="00227B88">
      <w:pPr>
        <w:jc w:val="both"/>
        <w:rPr>
          <w:rFonts w:cstheme="minorHAnsi"/>
          <w:sz w:val="24"/>
          <w:szCs w:val="24"/>
          <w:lang w:eastAsia="it-IT"/>
        </w:rPr>
      </w:pPr>
    </w:p>
    <w:p w14:paraId="1E172667" w14:textId="7928F875" w:rsidR="00BA792B" w:rsidRDefault="00BA792B" w:rsidP="00227B88">
      <w:pPr>
        <w:jc w:val="both"/>
        <w:rPr>
          <w:rFonts w:cstheme="minorHAnsi"/>
          <w:sz w:val="24"/>
          <w:szCs w:val="24"/>
          <w:lang w:eastAsia="it-IT"/>
        </w:rPr>
      </w:pPr>
    </w:p>
    <w:p w14:paraId="33D0A5CD" w14:textId="667588B4" w:rsidR="00BA792B" w:rsidRDefault="00BA792B" w:rsidP="00227B88">
      <w:pPr>
        <w:jc w:val="both"/>
        <w:rPr>
          <w:rFonts w:cstheme="minorHAnsi"/>
          <w:sz w:val="24"/>
          <w:szCs w:val="24"/>
          <w:lang w:eastAsia="it-IT"/>
        </w:rPr>
      </w:pPr>
    </w:p>
    <w:p w14:paraId="460A5C6C" w14:textId="16887ED1" w:rsidR="00BA792B" w:rsidRDefault="00BA792B" w:rsidP="00227B88">
      <w:pPr>
        <w:jc w:val="both"/>
        <w:rPr>
          <w:rFonts w:cstheme="minorHAnsi"/>
          <w:sz w:val="24"/>
          <w:szCs w:val="24"/>
          <w:lang w:eastAsia="it-IT"/>
        </w:rPr>
      </w:pPr>
    </w:p>
    <w:p w14:paraId="0D75DAC4" w14:textId="77777777" w:rsidR="00BA792B" w:rsidRPr="00703396" w:rsidRDefault="00BA792B" w:rsidP="00227B88">
      <w:pPr>
        <w:jc w:val="both"/>
        <w:rPr>
          <w:rFonts w:cstheme="minorHAnsi"/>
          <w:sz w:val="24"/>
          <w:szCs w:val="24"/>
          <w:lang w:eastAsia="it-IT"/>
        </w:rPr>
      </w:pPr>
    </w:p>
    <w:p w14:paraId="770997FE" w14:textId="780FB1BF" w:rsidR="004B4DBE" w:rsidRDefault="004B4DBE" w:rsidP="00227B88">
      <w:pPr>
        <w:jc w:val="both"/>
        <w:rPr>
          <w:rFonts w:cstheme="minorHAnsi"/>
          <w:b/>
          <w:bCs/>
          <w:i/>
          <w:iCs/>
          <w:sz w:val="24"/>
          <w:szCs w:val="24"/>
          <w:lang w:eastAsia="it-IT"/>
        </w:rPr>
      </w:pPr>
      <w:r>
        <w:rPr>
          <w:rFonts w:cstheme="minorHAnsi"/>
          <w:b/>
          <w:bCs/>
          <w:i/>
          <w:iCs/>
          <w:sz w:val="24"/>
          <w:szCs w:val="24"/>
          <w:lang w:eastAsia="it-IT"/>
        </w:rPr>
        <w:lastRenderedPageBreak/>
        <w:t>Costi di spazzamento e lavaggio delle strade e del suolo pubblico (CSL)</w:t>
      </w:r>
    </w:p>
    <w:p w14:paraId="0D22E34D" w14:textId="7464D7CA" w:rsidR="004B4DBE" w:rsidRDefault="00F25B8C" w:rsidP="00227B88">
      <w:pPr>
        <w:jc w:val="both"/>
        <w:rPr>
          <w:rFonts w:cstheme="minorHAnsi"/>
          <w:b/>
          <w:bCs/>
          <w:i/>
          <w:iCs/>
          <w:sz w:val="24"/>
          <w:szCs w:val="24"/>
          <w:lang w:eastAsia="it-IT"/>
        </w:rPr>
      </w:pPr>
      <w:r w:rsidRPr="00F25B8C">
        <w:rPr>
          <w:noProof/>
        </w:rPr>
        <w:drawing>
          <wp:inline distT="0" distB="0" distL="0" distR="0" wp14:anchorId="526B42E0" wp14:editId="1A1BE6D7">
            <wp:extent cx="5861050" cy="2116254"/>
            <wp:effectExtent l="0" t="0" r="635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9366" cy="2119257"/>
                    </a:xfrm>
                    <a:prstGeom prst="rect">
                      <a:avLst/>
                    </a:prstGeom>
                    <a:noFill/>
                    <a:ln>
                      <a:noFill/>
                    </a:ln>
                  </pic:spPr>
                </pic:pic>
              </a:graphicData>
            </a:graphic>
          </wp:inline>
        </w:drawing>
      </w:r>
    </w:p>
    <w:p w14:paraId="5B8A1294" w14:textId="77777777" w:rsidR="00F25B8C" w:rsidRDefault="00F25B8C" w:rsidP="00227B88">
      <w:pPr>
        <w:jc w:val="both"/>
        <w:rPr>
          <w:rFonts w:cstheme="minorHAnsi"/>
          <w:b/>
          <w:bCs/>
          <w:i/>
          <w:iCs/>
          <w:sz w:val="24"/>
          <w:szCs w:val="24"/>
          <w:lang w:eastAsia="it-IT"/>
        </w:rPr>
      </w:pPr>
    </w:p>
    <w:p w14:paraId="6E7EC07B" w14:textId="3B7390E2" w:rsidR="00227B88" w:rsidRPr="00703396" w:rsidRDefault="00227B88" w:rsidP="00227B88">
      <w:pPr>
        <w:jc w:val="both"/>
        <w:rPr>
          <w:rFonts w:cstheme="minorHAnsi"/>
          <w:b/>
          <w:bCs/>
          <w:i/>
          <w:iCs/>
          <w:sz w:val="24"/>
          <w:szCs w:val="24"/>
          <w:lang w:eastAsia="it-IT"/>
        </w:rPr>
      </w:pPr>
      <w:r w:rsidRPr="00703396">
        <w:rPr>
          <w:rFonts w:cstheme="minorHAnsi"/>
          <w:b/>
          <w:bCs/>
          <w:i/>
          <w:iCs/>
          <w:sz w:val="24"/>
          <w:szCs w:val="24"/>
          <w:lang w:eastAsia="it-IT"/>
        </w:rPr>
        <w:t>Costi amministrativi, riscossione e contenzioso (CARC)</w:t>
      </w:r>
    </w:p>
    <w:p w14:paraId="0FAB1DCE" w14:textId="77777777" w:rsidR="00227B88" w:rsidRPr="00703396" w:rsidRDefault="00227B88" w:rsidP="00227B88">
      <w:pPr>
        <w:spacing w:after="0"/>
        <w:jc w:val="both"/>
        <w:rPr>
          <w:rFonts w:cstheme="minorHAnsi"/>
          <w:color w:val="000000" w:themeColor="text1"/>
          <w:sz w:val="24"/>
          <w:szCs w:val="24"/>
          <w:lang w:eastAsia="it-IT"/>
        </w:rPr>
      </w:pPr>
      <w:r w:rsidRPr="00703396">
        <w:rPr>
          <w:rFonts w:cstheme="minorHAnsi"/>
          <w:color w:val="000000" w:themeColor="text1"/>
          <w:sz w:val="24"/>
          <w:szCs w:val="24"/>
          <w:lang w:eastAsia="it-IT"/>
        </w:rPr>
        <w:t>Rientrano in tale voce i costi operativi per l’attività di gestione delle tariffe e dei rapporti con gli utenti, che comprende le operazioni di:</w:t>
      </w:r>
    </w:p>
    <w:p w14:paraId="32A329B3" w14:textId="77777777" w:rsidR="00227B88" w:rsidRPr="00703396" w:rsidRDefault="00227B88" w:rsidP="00227B88">
      <w:pPr>
        <w:spacing w:after="0"/>
        <w:jc w:val="both"/>
        <w:rPr>
          <w:rFonts w:cstheme="minorHAnsi"/>
          <w:color w:val="000000" w:themeColor="text1"/>
          <w:sz w:val="24"/>
          <w:szCs w:val="24"/>
          <w:lang w:eastAsia="it-IT"/>
        </w:rPr>
      </w:pPr>
      <w:r w:rsidRPr="00703396">
        <w:rPr>
          <w:rFonts w:cstheme="minorHAnsi"/>
          <w:color w:val="000000" w:themeColor="text1"/>
          <w:sz w:val="24"/>
          <w:szCs w:val="24"/>
          <w:lang w:eastAsia="it-IT"/>
        </w:rPr>
        <w:t>- accertamento, riscossione (incluse le attività di bollettazione e l'invio degli avvisi di pagamento);</w:t>
      </w:r>
    </w:p>
    <w:p w14:paraId="388384E8" w14:textId="77777777" w:rsidR="00227B88" w:rsidRPr="00703396" w:rsidRDefault="00227B88" w:rsidP="00227B88">
      <w:pPr>
        <w:spacing w:after="0"/>
        <w:jc w:val="both"/>
        <w:rPr>
          <w:rFonts w:cstheme="minorHAnsi"/>
          <w:color w:val="000000" w:themeColor="text1"/>
          <w:sz w:val="24"/>
          <w:szCs w:val="24"/>
          <w:lang w:eastAsia="it-IT"/>
        </w:rPr>
      </w:pPr>
      <w:r w:rsidRPr="00703396">
        <w:rPr>
          <w:rFonts w:cstheme="minorHAnsi"/>
          <w:color w:val="000000" w:themeColor="text1"/>
          <w:sz w:val="24"/>
          <w:szCs w:val="24"/>
          <w:lang w:eastAsia="it-IT"/>
        </w:rPr>
        <w:t>- gestione del rapporto con gli utenti (inclusa la gestione reclami) anche mediante sportelli dedicati o call-center;</w:t>
      </w:r>
    </w:p>
    <w:p w14:paraId="288E79B2" w14:textId="77777777" w:rsidR="00227B88" w:rsidRPr="00703396" w:rsidRDefault="00227B88" w:rsidP="00227B88">
      <w:pPr>
        <w:spacing w:after="0"/>
        <w:jc w:val="both"/>
        <w:rPr>
          <w:rFonts w:cstheme="minorHAnsi"/>
          <w:color w:val="000000" w:themeColor="text1"/>
          <w:sz w:val="24"/>
          <w:szCs w:val="24"/>
          <w:lang w:eastAsia="it-IT"/>
        </w:rPr>
      </w:pPr>
      <w:r w:rsidRPr="00703396">
        <w:rPr>
          <w:rFonts w:cstheme="minorHAnsi"/>
          <w:color w:val="000000" w:themeColor="text1"/>
          <w:sz w:val="24"/>
          <w:szCs w:val="24"/>
          <w:lang w:eastAsia="it-IT"/>
        </w:rPr>
        <w:t>- gestione della banca dati degli utenti e delle utenze, dei crediti e del contenzioso;</w:t>
      </w:r>
    </w:p>
    <w:p w14:paraId="7CDF6B17" w14:textId="77777777" w:rsidR="00227B88" w:rsidRPr="00703396" w:rsidRDefault="00227B88" w:rsidP="00227B88">
      <w:pPr>
        <w:spacing w:after="0"/>
        <w:jc w:val="both"/>
        <w:rPr>
          <w:rFonts w:cstheme="minorHAnsi"/>
          <w:color w:val="000000" w:themeColor="text1"/>
          <w:sz w:val="24"/>
          <w:szCs w:val="24"/>
          <w:lang w:eastAsia="it-IT"/>
        </w:rPr>
      </w:pPr>
      <w:r w:rsidRPr="00703396">
        <w:rPr>
          <w:rFonts w:cstheme="minorHAnsi"/>
          <w:color w:val="000000" w:themeColor="text1"/>
          <w:sz w:val="24"/>
          <w:szCs w:val="24"/>
          <w:lang w:eastAsia="it-IT"/>
        </w:rPr>
        <w:t xml:space="preserve">- promozione di campagne ambientali; </w:t>
      </w:r>
    </w:p>
    <w:p w14:paraId="221C51DC" w14:textId="77777777" w:rsidR="00227B88" w:rsidRPr="00703396" w:rsidRDefault="00227B88" w:rsidP="00227B88">
      <w:pPr>
        <w:spacing w:after="0"/>
        <w:jc w:val="both"/>
        <w:rPr>
          <w:rFonts w:cstheme="minorHAnsi"/>
          <w:color w:val="000000" w:themeColor="text1"/>
          <w:sz w:val="24"/>
          <w:szCs w:val="24"/>
          <w:lang w:eastAsia="it-IT"/>
        </w:rPr>
      </w:pPr>
      <w:r w:rsidRPr="00703396">
        <w:rPr>
          <w:rFonts w:cstheme="minorHAnsi"/>
          <w:color w:val="000000" w:themeColor="text1"/>
          <w:sz w:val="24"/>
          <w:szCs w:val="24"/>
          <w:lang w:eastAsia="it-IT"/>
        </w:rPr>
        <w:t>- prevenzione della produzione di rifiuti urbani.</w:t>
      </w:r>
    </w:p>
    <w:p w14:paraId="337D2C2E" w14:textId="77777777" w:rsidR="00227B88" w:rsidRPr="00703396"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I costi efficienti desunti da fonti contabili obbligatorie sono i seguenti:</w:t>
      </w:r>
    </w:p>
    <w:p w14:paraId="394172FC" w14:textId="334C3459" w:rsidR="00227B88" w:rsidRDefault="004E60A6" w:rsidP="00227B88">
      <w:pPr>
        <w:jc w:val="both"/>
        <w:rPr>
          <w:rFonts w:cstheme="minorHAnsi"/>
          <w:b/>
          <w:bCs/>
          <w:sz w:val="24"/>
          <w:szCs w:val="24"/>
          <w:lang w:eastAsia="it-IT"/>
        </w:rPr>
      </w:pPr>
      <w:r w:rsidRPr="004E60A6">
        <w:rPr>
          <w:noProof/>
        </w:rPr>
        <w:drawing>
          <wp:inline distT="0" distB="0" distL="0" distR="0" wp14:anchorId="648A36FA" wp14:editId="6E10733D">
            <wp:extent cx="6120130" cy="567055"/>
            <wp:effectExtent l="0" t="0" r="0" b="444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567055"/>
                    </a:xfrm>
                    <a:prstGeom prst="rect">
                      <a:avLst/>
                    </a:prstGeom>
                    <a:noFill/>
                    <a:ln>
                      <a:noFill/>
                    </a:ln>
                  </pic:spPr>
                </pic:pic>
              </a:graphicData>
            </a:graphic>
          </wp:inline>
        </w:drawing>
      </w:r>
    </w:p>
    <w:p w14:paraId="5D0B88CD" w14:textId="77777777" w:rsidR="00F25B8C" w:rsidRPr="00F25B8C" w:rsidRDefault="00F25B8C" w:rsidP="00227B88">
      <w:pPr>
        <w:jc w:val="both"/>
        <w:rPr>
          <w:rFonts w:cstheme="minorHAnsi"/>
          <w:b/>
          <w:bCs/>
          <w:sz w:val="24"/>
          <w:szCs w:val="24"/>
          <w:lang w:eastAsia="it-IT"/>
        </w:rPr>
      </w:pPr>
    </w:p>
    <w:p w14:paraId="51902733" w14:textId="77777777" w:rsidR="00227B88" w:rsidRPr="00703396" w:rsidRDefault="00227B88" w:rsidP="00227B88">
      <w:pPr>
        <w:jc w:val="both"/>
        <w:rPr>
          <w:rFonts w:cstheme="minorHAnsi"/>
          <w:b/>
          <w:bCs/>
          <w:i/>
          <w:iCs/>
          <w:sz w:val="24"/>
          <w:szCs w:val="24"/>
          <w:lang w:eastAsia="it-IT"/>
        </w:rPr>
      </w:pPr>
      <w:r w:rsidRPr="00703396">
        <w:rPr>
          <w:rFonts w:cstheme="minorHAnsi"/>
          <w:b/>
          <w:bCs/>
          <w:i/>
          <w:iCs/>
          <w:sz w:val="24"/>
          <w:szCs w:val="24"/>
          <w:lang w:eastAsia="it-IT"/>
        </w:rPr>
        <w:t>Accantonamenti (ACC)</w:t>
      </w:r>
    </w:p>
    <w:p w14:paraId="223CABFE" w14:textId="77777777" w:rsidR="00227B88" w:rsidRPr="00703396"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 xml:space="preserve">La valorizzazione della componente </w:t>
      </w:r>
      <w:r w:rsidRPr="00703396">
        <w:rPr>
          <w:rFonts w:ascii="Cambria Math" w:hAnsi="Cambria Math" w:cs="Cambria Math"/>
          <w:color w:val="000000" w:themeColor="text1"/>
          <w:sz w:val="24"/>
          <w:szCs w:val="24"/>
          <w:lang w:eastAsia="it-IT"/>
        </w:rPr>
        <w:t>𝐴𝑐𝑐𝑎</w:t>
      </w:r>
      <w:r w:rsidRPr="00703396">
        <w:rPr>
          <w:rFonts w:cstheme="minorHAnsi"/>
          <w:color w:val="000000" w:themeColor="text1"/>
          <w:sz w:val="24"/>
          <w:szCs w:val="24"/>
          <w:lang w:eastAsia="it-IT"/>
        </w:rPr>
        <w:t xml:space="preserve"> a copertura degli accantonamenti ammessi al riconoscimento tariffario avviene considerando:</w:t>
      </w:r>
    </w:p>
    <w:p w14:paraId="0C9EE84C" w14:textId="3EE107F7" w:rsidR="00227B88" w:rsidRPr="00703396"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 gli accantonamenti effettuati ai fini della copertura dei costi di gestione post-operativa delle discariche autorizzate e dei costi di chiusura, ai sensi della normativa vigente;</w:t>
      </w:r>
    </w:p>
    <w:p w14:paraId="474267DA" w14:textId="77777777" w:rsidR="00227B88" w:rsidRPr="00703396"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 gli accantonamenti relativi ai crediti;</w:t>
      </w:r>
    </w:p>
    <w:p w14:paraId="5996F188" w14:textId="77777777" w:rsidR="00227B88" w:rsidRPr="00703396"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 eventuali ulteriori accantonamenti iscritti a bilancio per la copertura di rischi ed oneri previsti dalla normativa di settore e/o dai contratti di affidamento in essere;</w:t>
      </w:r>
    </w:p>
    <w:p w14:paraId="0EBCD85C" w14:textId="77777777" w:rsidR="00227B88" w:rsidRPr="00703396"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 altri accantonamenti, diversi dagli ammortamenti, non in eccesso rispetto all’applicazione di norme tributarie.</w:t>
      </w:r>
    </w:p>
    <w:p w14:paraId="26CD27D9" w14:textId="77777777" w:rsidR="00F25B8C" w:rsidRDefault="00227B88" w:rsidP="00227B88">
      <w:pPr>
        <w:jc w:val="both"/>
        <w:rPr>
          <w:rFonts w:cstheme="minorHAnsi"/>
          <w:color w:val="000000" w:themeColor="text1"/>
          <w:sz w:val="24"/>
          <w:szCs w:val="24"/>
          <w:lang w:eastAsia="it-IT"/>
        </w:rPr>
      </w:pPr>
      <w:r w:rsidRPr="00703396">
        <w:rPr>
          <w:rFonts w:cstheme="minorHAnsi"/>
          <w:color w:val="000000" w:themeColor="text1"/>
          <w:sz w:val="24"/>
          <w:szCs w:val="24"/>
          <w:lang w:eastAsia="it-IT"/>
        </w:rPr>
        <w:t>All’articolo 1</w:t>
      </w:r>
      <w:r w:rsidR="00A02C4C" w:rsidRPr="00703396">
        <w:rPr>
          <w:rFonts w:cstheme="minorHAnsi"/>
          <w:color w:val="000000" w:themeColor="text1"/>
          <w:sz w:val="24"/>
          <w:szCs w:val="24"/>
          <w:lang w:eastAsia="it-IT"/>
        </w:rPr>
        <w:t>6.2</w:t>
      </w:r>
      <w:r w:rsidRPr="00703396">
        <w:rPr>
          <w:rFonts w:cstheme="minorHAnsi"/>
          <w:color w:val="000000" w:themeColor="text1"/>
          <w:sz w:val="24"/>
          <w:szCs w:val="24"/>
          <w:lang w:eastAsia="it-IT"/>
        </w:rPr>
        <w:t xml:space="preserve"> dell’Allegato A alla Deliberazione </w:t>
      </w:r>
      <w:r w:rsidR="00A02C4C" w:rsidRPr="00703396">
        <w:rPr>
          <w:rFonts w:cstheme="minorHAnsi"/>
          <w:color w:val="000000" w:themeColor="text1"/>
          <w:sz w:val="24"/>
          <w:szCs w:val="24"/>
          <w:lang w:eastAsia="it-IT"/>
        </w:rPr>
        <w:t>36</w:t>
      </w:r>
      <w:r w:rsidRPr="00703396">
        <w:rPr>
          <w:rFonts w:cstheme="minorHAnsi"/>
          <w:color w:val="000000" w:themeColor="text1"/>
          <w:sz w:val="24"/>
          <w:szCs w:val="24"/>
          <w:lang w:eastAsia="it-IT"/>
        </w:rPr>
        <w:t>3/20</w:t>
      </w:r>
      <w:r w:rsidR="00A02C4C" w:rsidRPr="00703396">
        <w:rPr>
          <w:rFonts w:cstheme="minorHAnsi"/>
          <w:color w:val="000000" w:themeColor="text1"/>
          <w:sz w:val="24"/>
          <w:szCs w:val="24"/>
          <w:lang w:eastAsia="it-IT"/>
        </w:rPr>
        <w:t>21</w:t>
      </w:r>
      <w:r w:rsidRPr="00703396">
        <w:rPr>
          <w:rFonts w:cstheme="minorHAnsi"/>
          <w:color w:val="000000" w:themeColor="text1"/>
          <w:sz w:val="24"/>
          <w:szCs w:val="24"/>
          <w:lang w:eastAsia="it-IT"/>
        </w:rPr>
        <w:t>/R/Rif, ARERA prevede che la valorizzazione degli accantonamenti ammessi al riconoscimento tariffario avvenga considerando</w:t>
      </w:r>
      <w:r w:rsidR="00A02C4C" w:rsidRPr="00703396">
        <w:rPr>
          <w:rFonts w:cstheme="minorHAnsi"/>
          <w:color w:val="000000" w:themeColor="text1"/>
          <w:sz w:val="24"/>
          <w:szCs w:val="24"/>
          <w:lang w:eastAsia="it-IT"/>
        </w:rPr>
        <w:t xml:space="preserve"> </w:t>
      </w:r>
      <w:r w:rsidRPr="00703396">
        <w:rPr>
          <w:rFonts w:cstheme="minorHAnsi"/>
          <w:color w:val="000000" w:themeColor="text1"/>
          <w:sz w:val="24"/>
          <w:szCs w:val="24"/>
          <w:lang w:eastAsia="it-IT"/>
        </w:rPr>
        <w:t xml:space="preserve">gli </w:t>
      </w:r>
      <w:r w:rsidRPr="00703396">
        <w:rPr>
          <w:rFonts w:cstheme="minorHAnsi"/>
          <w:color w:val="000000" w:themeColor="text1"/>
          <w:sz w:val="24"/>
          <w:szCs w:val="24"/>
          <w:lang w:eastAsia="it-IT"/>
        </w:rPr>
        <w:lastRenderedPageBreak/>
        <w:t>accantonamenti relativi ai crediti</w:t>
      </w:r>
      <w:r w:rsidR="00A02C4C" w:rsidRPr="00703396">
        <w:rPr>
          <w:rFonts w:cstheme="minorHAnsi"/>
          <w:color w:val="000000" w:themeColor="text1"/>
          <w:sz w:val="24"/>
          <w:szCs w:val="24"/>
          <w:lang w:eastAsia="it-IT"/>
        </w:rPr>
        <w:t>:</w:t>
      </w:r>
      <w:r w:rsidRPr="00703396">
        <w:rPr>
          <w:rFonts w:cstheme="minorHAnsi"/>
          <w:color w:val="000000" w:themeColor="text1"/>
          <w:sz w:val="24"/>
          <w:szCs w:val="24"/>
          <w:lang w:eastAsia="it-IT"/>
        </w:rPr>
        <w:t xml:space="preserve"> nel caso di TARI tributo la componente Acc non può eccedere il valore massimo pari all’80% di quanto previsto dalle norme sul fondo crediti di dubbia esigibilità di cui al punto 3.3 dell’allegato 4/2 al D. Lgs. 118/2011. Nel caso specifico del Comune di </w:t>
      </w:r>
      <w:r w:rsidR="00F25B8C">
        <w:rPr>
          <w:rFonts w:cstheme="minorHAnsi"/>
          <w:color w:val="000000" w:themeColor="text1"/>
          <w:sz w:val="24"/>
          <w:szCs w:val="24"/>
          <w:lang w:eastAsia="it-IT"/>
        </w:rPr>
        <w:t>Altidona</w:t>
      </w:r>
      <w:r w:rsidRPr="00703396">
        <w:rPr>
          <w:rFonts w:cstheme="minorHAnsi"/>
          <w:color w:val="000000" w:themeColor="text1"/>
          <w:sz w:val="24"/>
          <w:szCs w:val="24"/>
          <w:lang w:eastAsia="it-IT"/>
        </w:rPr>
        <w:t>, si ritiene</w:t>
      </w:r>
      <w:r w:rsidR="00F25B8C">
        <w:rPr>
          <w:rFonts w:cstheme="minorHAnsi"/>
          <w:color w:val="000000" w:themeColor="text1"/>
          <w:sz w:val="24"/>
          <w:szCs w:val="24"/>
          <w:lang w:eastAsia="it-IT"/>
        </w:rPr>
        <w:t xml:space="preserve"> di procedere alla valorizzazione del FCDE come di seguito illustrato: </w:t>
      </w:r>
    </w:p>
    <w:p w14:paraId="7DC4EEC0" w14:textId="543A616B" w:rsidR="00227B88" w:rsidRPr="00703396" w:rsidRDefault="00F25B8C" w:rsidP="00227B88">
      <w:pPr>
        <w:jc w:val="both"/>
        <w:rPr>
          <w:rFonts w:cstheme="minorHAnsi"/>
          <w:color w:val="000000" w:themeColor="text1"/>
          <w:sz w:val="24"/>
          <w:szCs w:val="24"/>
          <w:lang w:eastAsia="it-IT"/>
        </w:rPr>
      </w:pPr>
      <w:r w:rsidRPr="00F25B8C">
        <w:rPr>
          <w:noProof/>
        </w:rPr>
        <w:drawing>
          <wp:inline distT="0" distB="0" distL="0" distR="0" wp14:anchorId="233E6647" wp14:editId="1BCA7D05">
            <wp:extent cx="6120130" cy="29527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295275"/>
                    </a:xfrm>
                    <a:prstGeom prst="rect">
                      <a:avLst/>
                    </a:prstGeom>
                    <a:noFill/>
                    <a:ln>
                      <a:noFill/>
                    </a:ln>
                  </pic:spPr>
                </pic:pic>
              </a:graphicData>
            </a:graphic>
          </wp:inline>
        </w:drawing>
      </w:r>
      <w:r w:rsidR="00227B88" w:rsidRPr="00703396">
        <w:rPr>
          <w:rFonts w:cstheme="minorHAnsi"/>
          <w:color w:val="000000" w:themeColor="text1"/>
          <w:sz w:val="24"/>
          <w:szCs w:val="24"/>
          <w:lang w:eastAsia="it-IT"/>
        </w:rPr>
        <w:t xml:space="preserve"> </w:t>
      </w:r>
    </w:p>
    <w:p w14:paraId="04CA32F6" w14:textId="77777777" w:rsidR="00F25B8C" w:rsidRDefault="00F25B8C" w:rsidP="004D3B70">
      <w:pPr>
        <w:jc w:val="both"/>
        <w:rPr>
          <w:rFonts w:cstheme="minorHAnsi"/>
          <w:b/>
          <w:bCs/>
          <w:i/>
          <w:iCs/>
          <w:color w:val="000000" w:themeColor="text1"/>
          <w:sz w:val="24"/>
          <w:szCs w:val="24"/>
          <w:lang w:eastAsia="it-IT"/>
        </w:rPr>
      </w:pPr>
    </w:p>
    <w:p w14:paraId="6FF117A7" w14:textId="422AF372" w:rsidR="004D3B70" w:rsidRPr="00703396" w:rsidRDefault="004D3B70" w:rsidP="004D3B70">
      <w:pPr>
        <w:jc w:val="both"/>
        <w:rPr>
          <w:rFonts w:cstheme="minorHAnsi"/>
          <w:b/>
          <w:bCs/>
          <w:i/>
          <w:iCs/>
          <w:color w:val="000000" w:themeColor="text1"/>
          <w:sz w:val="24"/>
          <w:szCs w:val="24"/>
          <w:lang w:eastAsia="it-IT"/>
        </w:rPr>
      </w:pPr>
      <w:r w:rsidRPr="00703396">
        <w:rPr>
          <w:rFonts w:cstheme="minorHAnsi"/>
          <w:b/>
          <w:bCs/>
          <w:i/>
          <w:iCs/>
          <w:color w:val="000000" w:themeColor="text1"/>
          <w:sz w:val="24"/>
          <w:szCs w:val="24"/>
          <w:lang w:eastAsia="it-IT"/>
        </w:rPr>
        <w:t>Costi per il funzionamento dell’Ente Territorialmente Competente, di ARERA e altri oneri locali (COal)</w:t>
      </w:r>
    </w:p>
    <w:p w14:paraId="192CEA96" w14:textId="6F4C0193" w:rsidR="004D3B70" w:rsidRDefault="004D3B70" w:rsidP="004D3B70">
      <w:pPr>
        <w:jc w:val="both"/>
        <w:rPr>
          <w:rFonts w:cstheme="minorHAnsi"/>
          <w:sz w:val="24"/>
          <w:szCs w:val="24"/>
          <w:lang w:eastAsia="it-IT"/>
        </w:rPr>
      </w:pPr>
      <w:r w:rsidRPr="00703396">
        <w:rPr>
          <w:rFonts w:cstheme="minorHAnsi"/>
          <w:sz w:val="24"/>
          <w:szCs w:val="24"/>
          <w:lang w:eastAsia="it-IT"/>
        </w:rPr>
        <w:t xml:space="preserve">Il Comune di </w:t>
      </w:r>
      <w:r w:rsidR="00F25B8C">
        <w:rPr>
          <w:rFonts w:cstheme="minorHAnsi"/>
          <w:sz w:val="24"/>
          <w:szCs w:val="24"/>
          <w:lang w:eastAsia="it-IT"/>
        </w:rPr>
        <w:t>Altidona</w:t>
      </w:r>
      <w:r w:rsidRPr="00703396">
        <w:rPr>
          <w:rFonts w:cstheme="minorHAnsi"/>
          <w:sz w:val="24"/>
          <w:szCs w:val="24"/>
          <w:lang w:eastAsia="it-IT"/>
        </w:rPr>
        <w:t xml:space="preserve"> non ha sostenuto nell’anno 2020 l’onere relativo al contributo sul funzionamento dell’Ente Territorialmente Competente</w:t>
      </w:r>
      <w:r w:rsidR="00F25B8C">
        <w:rPr>
          <w:rFonts w:cstheme="minorHAnsi"/>
          <w:sz w:val="24"/>
          <w:szCs w:val="24"/>
          <w:lang w:eastAsia="it-IT"/>
        </w:rPr>
        <w:t xml:space="preserve">, </w:t>
      </w:r>
      <w:r w:rsidRPr="00703396">
        <w:rPr>
          <w:rFonts w:cstheme="minorHAnsi"/>
          <w:sz w:val="24"/>
          <w:szCs w:val="24"/>
          <w:lang w:eastAsia="it-IT"/>
        </w:rPr>
        <w:t>né di ARERA</w:t>
      </w:r>
      <w:r w:rsidR="00F25B8C">
        <w:rPr>
          <w:rFonts w:cstheme="minorHAnsi"/>
          <w:sz w:val="24"/>
          <w:szCs w:val="24"/>
          <w:lang w:eastAsia="it-IT"/>
        </w:rPr>
        <w:t>.</w:t>
      </w:r>
    </w:p>
    <w:p w14:paraId="55B329AB" w14:textId="77777777" w:rsidR="00F25B8C" w:rsidRPr="00703396" w:rsidRDefault="00F25B8C" w:rsidP="004D3B70">
      <w:pPr>
        <w:jc w:val="both"/>
        <w:rPr>
          <w:rFonts w:cstheme="minorHAnsi"/>
          <w:sz w:val="24"/>
          <w:szCs w:val="24"/>
          <w:lang w:eastAsia="it-IT"/>
        </w:rPr>
      </w:pPr>
    </w:p>
    <w:p w14:paraId="7B7C0350" w14:textId="31F524B5" w:rsidR="00E739F3" w:rsidRPr="00703396" w:rsidRDefault="00E739F3" w:rsidP="004D3B70">
      <w:pPr>
        <w:jc w:val="both"/>
        <w:rPr>
          <w:rFonts w:cstheme="minorHAnsi"/>
          <w:b/>
          <w:bCs/>
          <w:i/>
          <w:iCs/>
          <w:sz w:val="24"/>
          <w:szCs w:val="24"/>
        </w:rPr>
      </w:pPr>
      <w:r w:rsidRPr="00703396">
        <w:rPr>
          <w:rFonts w:cstheme="minorHAnsi"/>
          <w:b/>
          <w:bCs/>
          <w:i/>
          <w:iCs/>
          <w:sz w:val="24"/>
          <w:szCs w:val="24"/>
        </w:rPr>
        <w:t>Costi attribuibili alle attività capitalizzate</w:t>
      </w:r>
    </w:p>
    <w:p w14:paraId="248E085A" w14:textId="555278E2" w:rsidR="00E739F3" w:rsidRDefault="005C6E52" w:rsidP="004D3B70">
      <w:pPr>
        <w:jc w:val="both"/>
        <w:rPr>
          <w:rFonts w:cstheme="minorHAnsi"/>
          <w:color w:val="000000" w:themeColor="text1"/>
          <w:sz w:val="24"/>
          <w:szCs w:val="24"/>
          <w:lang w:eastAsia="it-IT"/>
        </w:rPr>
      </w:pPr>
      <w:r w:rsidRPr="00F25B8C">
        <w:rPr>
          <w:rFonts w:cstheme="minorHAnsi"/>
          <w:color w:val="000000" w:themeColor="text1"/>
          <w:sz w:val="24"/>
          <w:szCs w:val="24"/>
          <w:lang w:eastAsia="it-IT"/>
        </w:rPr>
        <w:t>Non sono presenti costi attribuibili ad attività capitalizzate, fatta eccezione per gli ammortamenti. Tali importi, calcolati in inventario secondo le disposizioni del D.Lgs. 118/2011, non sono stati presi in considerazione, ma è stato applicato quanto previsto nel MTR-2 Titolo IV – Costi d’uso del capitale.</w:t>
      </w:r>
    </w:p>
    <w:p w14:paraId="57F4684B" w14:textId="77777777" w:rsidR="00F25B8C" w:rsidRPr="00703396" w:rsidRDefault="00F25B8C" w:rsidP="004D3B70">
      <w:pPr>
        <w:jc w:val="both"/>
        <w:rPr>
          <w:rFonts w:cstheme="minorHAnsi"/>
          <w:b/>
          <w:bCs/>
          <w:i/>
          <w:iCs/>
          <w:sz w:val="24"/>
          <w:szCs w:val="24"/>
        </w:rPr>
      </w:pPr>
    </w:p>
    <w:p w14:paraId="1CBFC189" w14:textId="72838C45" w:rsidR="00A02C4C" w:rsidRPr="00703396" w:rsidRDefault="00A02C4C" w:rsidP="00227B88">
      <w:pPr>
        <w:jc w:val="both"/>
        <w:rPr>
          <w:rFonts w:cstheme="minorHAnsi"/>
          <w:b/>
          <w:bCs/>
          <w:i/>
          <w:iCs/>
          <w:color w:val="000000" w:themeColor="text1"/>
          <w:sz w:val="24"/>
          <w:szCs w:val="24"/>
          <w:lang w:eastAsia="it-IT"/>
        </w:rPr>
      </w:pPr>
      <w:r w:rsidRPr="00703396">
        <w:rPr>
          <w:rFonts w:cstheme="minorHAnsi"/>
          <w:b/>
          <w:bCs/>
          <w:i/>
          <w:iCs/>
          <w:color w:val="000000" w:themeColor="text1"/>
          <w:sz w:val="24"/>
          <w:szCs w:val="24"/>
          <w:lang w:eastAsia="it-IT"/>
        </w:rPr>
        <w:t>Rendicontazione dei costi operativi incentivanti</w:t>
      </w:r>
    </w:p>
    <w:p w14:paraId="3BA92389" w14:textId="469A793C" w:rsidR="00A02C4C" w:rsidRPr="00703396" w:rsidRDefault="00A02C4C" w:rsidP="00227B88">
      <w:pPr>
        <w:jc w:val="both"/>
        <w:rPr>
          <w:rFonts w:cstheme="minorHAnsi"/>
          <w:color w:val="000000" w:themeColor="text1"/>
          <w:sz w:val="24"/>
          <w:szCs w:val="24"/>
          <w:lang w:eastAsia="it-IT"/>
        </w:rPr>
      </w:pPr>
      <w:r w:rsidRPr="00F25B8C">
        <w:rPr>
          <w:rFonts w:cstheme="minorHAnsi"/>
          <w:color w:val="000000" w:themeColor="text1"/>
          <w:sz w:val="24"/>
          <w:szCs w:val="24"/>
          <w:lang w:eastAsia="it-IT"/>
        </w:rPr>
        <w:t>Non sono presenti costi sostenuti per il conseguimento dei target cui è stata associata (in sede di determinazione delle entrate tariffarie riferite a precedenti annualità) la valorizzazione di costi operativi incentivanti (di natura previsionale)</w:t>
      </w:r>
      <w:r w:rsidR="002812F3" w:rsidRPr="00F25B8C">
        <w:rPr>
          <w:rFonts w:cstheme="minorHAnsi"/>
          <w:color w:val="000000" w:themeColor="text1"/>
          <w:sz w:val="24"/>
          <w:szCs w:val="24"/>
          <w:lang w:eastAsia="it-IT"/>
        </w:rPr>
        <w:t>.</w:t>
      </w:r>
    </w:p>
    <w:p w14:paraId="1CDFAC91" w14:textId="77777777" w:rsidR="00F25B8C" w:rsidRDefault="00F25B8C" w:rsidP="002812F3">
      <w:pPr>
        <w:jc w:val="both"/>
        <w:rPr>
          <w:rFonts w:cstheme="minorHAnsi"/>
          <w:b/>
          <w:bCs/>
          <w:i/>
          <w:iCs/>
          <w:color w:val="000000" w:themeColor="text1"/>
          <w:sz w:val="24"/>
          <w:szCs w:val="24"/>
          <w:lang w:eastAsia="it-IT"/>
        </w:rPr>
      </w:pPr>
    </w:p>
    <w:p w14:paraId="3763F2C6" w14:textId="5651D831" w:rsidR="002812F3" w:rsidRPr="00703396" w:rsidRDefault="002812F3" w:rsidP="002812F3">
      <w:pPr>
        <w:jc w:val="both"/>
        <w:rPr>
          <w:rFonts w:cstheme="minorHAnsi"/>
          <w:b/>
          <w:bCs/>
          <w:i/>
          <w:iCs/>
          <w:color w:val="000000" w:themeColor="text1"/>
          <w:sz w:val="24"/>
          <w:szCs w:val="24"/>
          <w:lang w:eastAsia="it-IT"/>
        </w:rPr>
      </w:pPr>
      <w:r w:rsidRPr="00703396">
        <w:rPr>
          <w:rFonts w:cstheme="minorHAnsi"/>
          <w:b/>
          <w:bCs/>
          <w:i/>
          <w:iCs/>
          <w:color w:val="000000" w:themeColor="text1"/>
          <w:sz w:val="24"/>
          <w:szCs w:val="24"/>
          <w:lang w:eastAsia="it-IT"/>
        </w:rPr>
        <w:t>Rendicontazione degli scostamenti già presenti in precedenti Piani Finanziari connessi alla situazione emergenziale da Covid-19</w:t>
      </w:r>
    </w:p>
    <w:p w14:paraId="6330CEB2" w14:textId="5D0A1E57" w:rsidR="002812F3" w:rsidRPr="00703396" w:rsidRDefault="002812F3" w:rsidP="00227B88">
      <w:pPr>
        <w:jc w:val="both"/>
        <w:rPr>
          <w:rFonts w:cstheme="minorHAnsi"/>
          <w:color w:val="000000" w:themeColor="text1"/>
          <w:sz w:val="24"/>
          <w:szCs w:val="24"/>
          <w:lang w:eastAsia="it-IT"/>
        </w:rPr>
      </w:pPr>
      <w:r w:rsidRPr="00F25B8C">
        <w:rPr>
          <w:rFonts w:cstheme="minorHAnsi"/>
          <w:color w:val="000000" w:themeColor="text1"/>
          <w:sz w:val="24"/>
          <w:szCs w:val="24"/>
          <w:lang w:eastAsia="it-IT"/>
        </w:rPr>
        <w:t xml:space="preserve">Non sono rilevabili scostamenti già intercettati attraverso la valorizzazione (in sede di determinazione delle entrate tariffarie riferite a precedenti annualità) delle ulteriori componenti di costo di natura previsionale introdotte dalla regolazione pro tempore vigente, in quanto il Comune non ha mai valorizzato nei precedenti Piani Finanziari le componenti </w:t>
      </w:r>
      <w:r w:rsidRPr="00F25B8C">
        <w:rPr>
          <w:rFonts w:ascii="Cambria Math" w:hAnsi="Cambria Math" w:cs="Cambria Math"/>
          <w:color w:val="000000" w:themeColor="text1"/>
          <w:sz w:val="24"/>
          <w:szCs w:val="24"/>
          <w:lang w:eastAsia="it-IT"/>
        </w:rPr>
        <w:t>𝑅𝐶𝑁𝐷</w:t>
      </w:r>
      <w:r w:rsidRPr="00F25B8C">
        <w:rPr>
          <w:rFonts w:ascii="Cambria Math" w:hAnsi="Cambria Math" w:cs="Cambria Math"/>
          <w:color w:val="000000" w:themeColor="text1"/>
          <w:sz w:val="24"/>
          <w:szCs w:val="24"/>
          <w:vertAlign w:val="subscript"/>
          <w:lang w:eastAsia="it-IT"/>
        </w:rPr>
        <w:t>𝑇𝑉</w:t>
      </w:r>
      <w:r w:rsidRPr="00F25B8C">
        <w:rPr>
          <w:rFonts w:cstheme="minorHAnsi"/>
          <w:color w:val="000000" w:themeColor="text1"/>
          <w:sz w:val="24"/>
          <w:szCs w:val="24"/>
          <w:lang w:eastAsia="it-IT"/>
        </w:rPr>
        <w:t xml:space="preserve">, </w:t>
      </w:r>
      <w:r w:rsidRPr="00F25B8C">
        <w:rPr>
          <w:rFonts w:ascii="Cambria Math" w:hAnsi="Cambria Math" w:cs="Cambria Math"/>
          <w:color w:val="000000" w:themeColor="text1"/>
          <w:sz w:val="24"/>
          <w:szCs w:val="24"/>
          <w:lang w:eastAsia="it-IT"/>
        </w:rPr>
        <w:t>𝐶𝑂</w:t>
      </w:r>
      <w:r w:rsidRPr="00F25B8C">
        <w:rPr>
          <w:rFonts w:cstheme="minorHAnsi"/>
          <w:color w:val="000000" w:themeColor="text1"/>
          <w:sz w:val="24"/>
          <w:szCs w:val="24"/>
          <w:lang w:eastAsia="it-IT"/>
        </w:rPr>
        <w:t>V</w:t>
      </w:r>
      <w:r w:rsidRPr="00F25B8C">
        <w:rPr>
          <w:rFonts w:ascii="Cambria Math" w:hAnsi="Cambria Math" w:cs="Cambria Math"/>
          <w:color w:val="000000" w:themeColor="text1"/>
          <w:sz w:val="24"/>
          <w:szCs w:val="24"/>
          <w:vertAlign w:val="subscript"/>
          <w:lang w:eastAsia="it-IT"/>
        </w:rPr>
        <w:t>𝑇𝑉</w:t>
      </w:r>
      <w:r w:rsidRPr="00F25B8C">
        <w:rPr>
          <w:rFonts w:ascii="Cambria Math" w:hAnsi="Cambria Math" w:cs="Cambria Math"/>
          <w:color w:val="000000" w:themeColor="text1"/>
          <w:sz w:val="24"/>
          <w:szCs w:val="24"/>
          <w:vertAlign w:val="superscript"/>
          <w:lang w:eastAsia="it-IT"/>
        </w:rPr>
        <w:t>𝑒𝑥</w:t>
      </w:r>
      <w:r w:rsidRPr="00F25B8C">
        <w:rPr>
          <w:rFonts w:cstheme="minorHAnsi"/>
          <w:color w:val="000000" w:themeColor="text1"/>
          <w:sz w:val="24"/>
          <w:szCs w:val="24"/>
          <w:vertAlign w:val="superscript"/>
          <w:lang w:eastAsia="it-IT"/>
        </w:rPr>
        <w:t>p</w:t>
      </w:r>
      <w:r w:rsidRPr="00F25B8C">
        <w:rPr>
          <w:rFonts w:cstheme="minorHAnsi"/>
          <w:color w:val="000000" w:themeColor="text1"/>
          <w:sz w:val="24"/>
          <w:szCs w:val="24"/>
          <w:lang w:eastAsia="it-IT"/>
        </w:rPr>
        <w:t xml:space="preserve">, </w:t>
      </w:r>
      <w:r w:rsidRPr="00F25B8C">
        <w:rPr>
          <w:rFonts w:ascii="Cambria Math" w:hAnsi="Cambria Math" w:cs="Cambria Math"/>
          <w:color w:val="000000" w:themeColor="text1"/>
          <w:sz w:val="24"/>
          <w:szCs w:val="24"/>
          <w:lang w:eastAsia="it-IT"/>
        </w:rPr>
        <w:t>𝐶𝑂</w:t>
      </w:r>
      <w:r w:rsidRPr="00F25B8C">
        <w:rPr>
          <w:rFonts w:cstheme="minorHAnsi"/>
          <w:color w:val="000000" w:themeColor="text1"/>
          <w:sz w:val="24"/>
          <w:szCs w:val="24"/>
          <w:lang w:eastAsia="it-IT"/>
        </w:rPr>
        <w:t>V</w:t>
      </w:r>
      <w:r w:rsidRPr="00F25B8C">
        <w:rPr>
          <w:rFonts w:ascii="Cambria Math" w:hAnsi="Cambria Math" w:cs="Cambria Math"/>
          <w:color w:val="000000" w:themeColor="text1"/>
          <w:sz w:val="24"/>
          <w:szCs w:val="24"/>
          <w:vertAlign w:val="subscript"/>
          <w:lang w:eastAsia="it-IT"/>
        </w:rPr>
        <w:t>𝑇</w:t>
      </w:r>
      <w:r w:rsidRPr="00F25B8C">
        <w:rPr>
          <w:rFonts w:cstheme="minorHAnsi"/>
          <w:color w:val="000000" w:themeColor="text1"/>
          <w:sz w:val="24"/>
          <w:szCs w:val="24"/>
          <w:vertAlign w:val="subscript"/>
          <w:lang w:eastAsia="it-IT"/>
        </w:rPr>
        <w:t>F</w:t>
      </w:r>
      <w:r w:rsidRPr="00F25B8C">
        <w:rPr>
          <w:rFonts w:ascii="Cambria Math" w:hAnsi="Cambria Math" w:cs="Cambria Math"/>
          <w:color w:val="000000" w:themeColor="text1"/>
          <w:sz w:val="24"/>
          <w:szCs w:val="24"/>
          <w:vertAlign w:val="superscript"/>
          <w:lang w:eastAsia="it-IT"/>
        </w:rPr>
        <w:t>𝑒𝑥</w:t>
      </w:r>
      <w:r w:rsidRPr="00F25B8C">
        <w:rPr>
          <w:rFonts w:cstheme="minorHAnsi"/>
          <w:color w:val="000000" w:themeColor="text1"/>
          <w:sz w:val="24"/>
          <w:szCs w:val="24"/>
          <w:vertAlign w:val="superscript"/>
          <w:lang w:eastAsia="it-IT"/>
        </w:rPr>
        <w:t>p</w:t>
      </w:r>
      <w:r w:rsidRPr="00F25B8C">
        <w:rPr>
          <w:rFonts w:cstheme="minorHAnsi"/>
          <w:color w:val="000000" w:themeColor="text1"/>
          <w:sz w:val="24"/>
          <w:szCs w:val="24"/>
          <w:lang w:eastAsia="it-IT"/>
        </w:rPr>
        <w:t xml:space="preserve">, </w:t>
      </w:r>
      <w:r w:rsidRPr="00F25B8C">
        <w:rPr>
          <w:rFonts w:ascii="Cambria Math" w:hAnsi="Cambria Math" w:cs="Cambria Math"/>
          <w:color w:val="000000" w:themeColor="text1"/>
          <w:sz w:val="24"/>
          <w:szCs w:val="24"/>
          <w:lang w:eastAsia="it-IT"/>
        </w:rPr>
        <w:t>𝐶𝑂𝑆</w:t>
      </w:r>
      <w:r w:rsidRPr="00F25B8C">
        <w:rPr>
          <w:rFonts w:ascii="Cambria Math" w:hAnsi="Cambria Math" w:cs="Cambria Math"/>
          <w:color w:val="000000" w:themeColor="text1"/>
          <w:sz w:val="24"/>
          <w:szCs w:val="24"/>
          <w:vertAlign w:val="subscript"/>
          <w:lang w:eastAsia="it-IT"/>
        </w:rPr>
        <w:t>𝑇𝑉</w:t>
      </w:r>
      <w:r w:rsidRPr="00F25B8C">
        <w:rPr>
          <w:rFonts w:ascii="Cambria Math" w:hAnsi="Cambria Math" w:cs="Cambria Math"/>
          <w:color w:val="000000" w:themeColor="text1"/>
          <w:sz w:val="24"/>
          <w:szCs w:val="24"/>
          <w:vertAlign w:val="superscript"/>
          <w:lang w:eastAsia="it-IT"/>
        </w:rPr>
        <w:t>𝑒𝑥𝑝</w:t>
      </w:r>
      <w:r w:rsidRPr="00F25B8C">
        <w:rPr>
          <w:rFonts w:cstheme="minorHAnsi"/>
          <w:color w:val="000000" w:themeColor="text1"/>
          <w:sz w:val="24"/>
          <w:szCs w:val="24"/>
          <w:lang w:eastAsia="it-IT"/>
        </w:rPr>
        <w:t>.</w:t>
      </w:r>
    </w:p>
    <w:p w14:paraId="17DF38C4" w14:textId="77777777" w:rsidR="00A5320A" w:rsidRPr="00703396" w:rsidRDefault="00A5320A" w:rsidP="004D3B70">
      <w:pPr>
        <w:jc w:val="both"/>
        <w:rPr>
          <w:rFonts w:cstheme="minorHAnsi"/>
          <w:b/>
          <w:bCs/>
          <w:i/>
          <w:iCs/>
          <w:sz w:val="24"/>
          <w:szCs w:val="24"/>
          <w:lang w:eastAsia="it-IT"/>
        </w:rPr>
      </w:pPr>
    </w:p>
    <w:p w14:paraId="4C47D4C7" w14:textId="60D47CEE" w:rsidR="004D3B70" w:rsidRPr="00703396" w:rsidRDefault="006B5290" w:rsidP="004D3B70">
      <w:pPr>
        <w:jc w:val="both"/>
        <w:rPr>
          <w:rFonts w:cstheme="minorHAnsi"/>
          <w:b/>
          <w:bCs/>
          <w:i/>
          <w:iCs/>
          <w:sz w:val="24"/>
          <w:szCs w:val="24"/>
          <w:lang w:eastAsia="it-IT"/>
        </w:rPr>
      </w:pPr>
      <w:r w:rsidRPr="00703396">
        <w:rPr>
          <w:rFonts w:cstheme="minorHAnsi"/>
          <w:b/>
          <w:bCs/>
          <w:i/>
          <w:iCs/>
          <w:sz w:val="24"/>
          <w:szCs w:val="24"/>
          <w:lang w:eastAsia="it-IT"/>
        </w:rPr>
        <w:t>Detrazioni (art. 1.4 Determinazione 2/2021)</w:t>
      </w:r>
    </w:p>
    <w:p w14:paraId="7ABAA304" w14:textId="3A903FBE" w:rsidR="004D3B70" w:rsidRPr="00703396" w:rsidRDefault="004D3B70" w:rsidP="004D3B70">
      <w:pPr>
        <w:jc w:val="both"/>
        <w:rPr>
          <w:rFonts w:cstheme="minorHAnsi"/>
          <w:sz w:val="24"/>
          <w:szCs w:val="24"/>
          <w:lang w:eastAsia="it-IT"/>
        </w:rPr>
      </w:pPr>
      <w:r w:rsidRPr="00703396">
        <w:rPr>
          <w:rFonts w:cstheme="minorHAnsi"/>
          <w:sz w:val="24"/>
          <w:szCs w:val="24"/>
          <w:lang w:eastAsia="it-IT"/>
        </w:rPr>
        <w:t>Per quanto concerne i proventi ammessi a riconoscimento tariffario a scomputo dei costi individuati, occorre fare riferimento a quanto previsto dall’art. 1</w:t>
      </w:r>
      <w:r w:rsidR="006B5290" w:rsidRPr="00703396">
        <w:rPr>
          <w:rFonts w:cstheme="minorHAnsi"/>
          <w:sz w:val="24"/>
          <w:szCs w:val="24"/>
          <w:lang w:eastAsia="it-IT"/>
        </w:rPr>
        <w:t>,</w:t>
      </w:r>
      <w:r w:rsidRPr="00703396">
        <w:rPr>
          <w:rFonts w:cstheme="minorHAnsi"/>
          <w:sz w:val="24"/>
          <w:szCs w:val="24"/>
          <w:lang w:eastAsia="it-IT"/>
        </w:rPr>
        <w:t xml:space="preserve"> comma 4 della Determinazione ARERA n.2/DRIF/2021 che prevede espressamente quanto segue:</w:t>
      </w:r>
    </w:p>
    <w:p w14:paraId="650CD0A7" w14:textId="77777777" w:rsidR="004D3B70" w:rsidRPr="00703396" w:rsidRDefault="004D3B70" w:rsidP="004D3B70">
      <w:pPr>
        <w:jc w:val="both"/>
        <w:rPr>
          <w:rFonts w:cstheme="minorHAnsi"/>
          <w:i/>
          <w:iCs/>
          <w:sz w:val="24"/>
          <w:szCs w:val="24"/>
          <w:lang w:eastAsia="it-IT"/>
        </w:rPr>
      </w:pPr>
      <w:r w:rsidRPr="00703396">
        <w:rPr>
          <w:rFonts w:cstheme="minorHAnsi"/>
          <w:sz w:val="24"/>
          <w:szCs w:val="24"/>
          <w:lang w:eastAsia="it-IT"/>
        </w:rPr>
        <w:t>“</w:t>
      </w:r>
      <w:r w:rsidRPr="00703396">
        <w:rPr>
          <w:rFonts w:cstheme="minorHAnsi"/>
          <w:i/>
          <w:iCs/>
          <w:sz w:val="24"/>
          <w:szCs w:val="24"/>
          <w:lang w:eastAsia="it-IT"/>
        </w:rPr>
        <w:t>Dal totale dei costi del PEF sono sottratte le seguenti entrate:</w:t>
      </w:r>
    </w:p>
    <w:p w14:paraId="37AD8EC7" w14:textId="77777777" w:rsidR="004D3B70" w:rsidRPr="00703396" w:rsidRDefault="004D3B70" w:rsidP="004D3B70">
      <w:pPr>
        <w:jc w:val="both"/>
        <w:rPr>
          <w:rFonts w:cstheme="minorHAnsi"/>
          <w:i/>
          <w:iCs/>
          <w:sz w:val="24"/>
          <w:szCs w:val="24"/>
          <w:lang w:eastAsia="it-IT"/>
        </w:rPr>
      </w:pPr>
      <w:r w:rsidRPr="00703396">
        <w:rPr>
          <w:rFonts w:cstheme="minorHAnsi"/>
          <w:i/>
          <w:iCs/>
          <w:sz w:val="24"/>
          <w:szCs w:val="24"/>
          <w:lang w:eastAsia="it-IT"/>
        </w:rPr>
        <w:lastRenderedPageBreak/>
        <w:t>a) il contributo del MIUR per le istituzioni scolastiche statali ai sensi dell’articolo 33 bis del decreto-legge 248/07;</w:t>
      </w:r>
    </w:p>
    <w:p w14:paraId="184B48A7" w14:textId="77777777" w:rsidR="004D3B70" w:rsidRPr="00703396" w:rsidRDefault="004D3B70" w:rsidP="004D3B70">
      <w:pPr>
        <w:jc w:val="both"/>
        <w:rPr>
          <w:rFonts w:cstheme="minorHAnsi"/>
          <w:i/>
          <w:iCs/>
          <w:sz w:val="24"/>
          <w:szCs w:val="24"/>
          <w:lang w:eastAsia="it-IT"/>
        </w:rPr>
      </w:pPr>
      <w:r w:rsidRPr="00703396">
        <w:rPr>
          <w:rFonts w:cstheme="minorHAnsi"/>
          <w:i/>
          <w:iCs/>
          <w:sz w:val="24"/>
          <w:szCs w:val="24"/>
          <w:lang w:eastAsia="it-IT"/>
        </w:rPr>
        <w:t>b) le entrate effettivamente conseguite a seguito dell’attività di recupero dell’evasione;</w:t>
      </w:r>
    </w:p>
    <w:p w14:paraId="1B2EF8C6" w14:textId="77777777" w:rsidR="004D3B70" w:rsidRPr="00703396" w:rsidRDefault="004D3B70" w:rsidP="004D3B70">
      <w:pPr>
        <w:jc w:val="both"/>
        <w:rPr>
          <w:rFonts w:cstheme="minorHAnsi"/>
          <w:i/>
          <w:iCs/>
          <w:sz w:val="24"/>
          <w:szCs w:val="24"/>
          <w:lang w:eastAsia="it-IT"/>
        </w:rPr>
      </w:pPr>
      <w:r w:rsidRPr="00703396">
        <w:rPr>
          <w:rFonts w:cstheme="minorHAnsi"/>
          <w:i/>
          <w:iCs/>
          <w:sz w:val="24"/>
          <w:szCs w:val="24"/>
          <w:lang w:eastAsia="it-IT"/>
        </w:rPr>
        <w:t>c) le entrate derivanti da procedure sanzionatorie;</w:t>
      </w:r>
    </w:p>
    <w:p w14:paraId="740A900E" w14:textId="77777777" w:rsidR="004D3B70" w:rsidRPr="00703396" w:rsidRDefault="004D3B70" w:rsidP="004D3B70">
      <w:pPr>
        <w:jc w:val="both"/>
        <w:rPr>
          <w:rFonts w:cstheme="minorHAnsi"/>
          <w:sz w:val="24"/>
          <w:szCs w:val="24"/>
          <w:lang w:eastAsia="it-IT"/>
        </w:rPr>
      </w:pPr>
      <w:r w:rsidRPr="00703396">
        <w:rPr>
          <w:rFonts w:cstheme="minorHAnsi"/>
          <w:i/>
          <w:iCs/>
          <w:sz w:val="24"/>
          <w:szCs w:val="24"/>
          <w:lang w:eastAsia="it-IT"/>
        </w:rPr>
        <w:t>d) le ulteriori partite approvate dall’Ente territorialmente competente</w:t>
      </w:r>
      <w:r w:rsidRPr="00703396">
        <w:rPr>
          <w:rFonts w:cstheme="minorHAnsi"/>
          <w:sz w:val="24"/>
          <w:szCs w:val="24"/>
          <w:lang w:eastAsia="it-IT"/>
        </w:rPr>
        <w:t>”.</w:t>
      </w:r>
    </w:p>
    <w:p w14:paraId="544557E7" w14:textId="5CB5D7A2" w:rsidR="004D3B70" w:rsidRPr="00286E93" w:rsidRDefault="004D3B70" w:rsidP="004D3B70">
      <w:pPr>
        <w:jc w:val="both"/>
        <w:rPr>
          <w:rFonts w:cstheme="minorHAnsi"/>
          <w:b/>
          <w:bCs/>
          <w:sz w:val="24"/>
          <w:szCs w:val="24"/>
          <w:lang w:eastAsia="it-IT"/>
        </w:rPr>
      </w:pPr>
      <w:r w:rsidRPr="00286E93">
        <w:rPr>
          <w:rFonts w:cstheme="minorHAnsi"/>
          <w:sz w:val="24"/>
          <w:szCs w:val="24"/>
          <w:lang w:eastAsia="it-IT"/>
        </w:rPr>
        <w:t xml:space="preserve">Per l’anno 2020 </w:t>
      </w:r>
      <w:r w:rsidR="00F25B8C" w:rsidRPr="00286E93">
        <w:rPr>
          <w:rFonts w:cstheme="minorHAnsi"/>
          <w:sz w:val="24"/>
          <w:szCs w:val="24"/>
          <w:lang w:eastAsia="it-IT"/>
        </w:rPr>
        <w:t>è</w:t>
      </w:r>
      <w:r w:rsidRPr="00286E93">
        <w:rPr>
          <w:rFonts w:cstheme="minorHAnsi"/>
          <w:sz w:val="24"/>
          <w:szCs w:val="24"/>
          <w:lang w:eastAsia="it-IT"/>
        </w:rPr>
        <w:t xml:space="preserve"> valorizzat</w:t>
      </w:r>
      <w:r w:rsidR="00F25B8C" w:rsidRPr="00286E93">
        <w:rPr>
          <w:rFonts w:cstheme="minorHAnsi"/>
          <w:sz w:val="24"/>
          <w:szCs w:val="24"/>
          <w:lang w:eastAsia="it-IT"/>
        </w:rPr>
        <w:t>a</w:t>
      </w:r>
      <w:r w:rsidRPr="00286E93">
        <w:rPr>
          <w:rFonts w:cstheme="minorHAnsi"/>
          <w:sz w:val="24"/>
          <w:szCs w:val="24"/>
          <w:lang w:eastAsia="it-IT"/>
        </w:rPr>
        <w:t xml:space="preserve"> l</w:t>
      </w:r>
      <w:r w:rsidR="00F25B8C" w:rsidRPr="00286E93">
        <w:rPr>
          <w:rFonts w:cstheme="minorHAnsi"/>
          <w:sz w:val="24"/>
          <w:szCs w:val="24"/>
          <w:lang w:eastAsia="it-IT"/>
        </w:rPr>
        <w:t>a</w:t>
      </w:r>
      <w:r w:rsidRPr="00286E93">
        <w:rPr>
          <w:rFonts w:cstheme="minorHAnsi"/>
          <w:sz w:val="24"/>
          <w:szCs w:val="24"/>
          <w:lang w:eastAsia="it-IT"/>
        </w:rPr>
        <w:t xml:space="preserve"> post</w:t>
      </w:r>
      <w:r w:rsidR="00F25B8C" w:rsidRPr="00286E93">
        <w:rPr>
          <w:rFonts w:cstheme="minorHAnsi"/>
          <w:sz w:val="24"/>
          <w:szCs w:val="24"/>
          <w:lang w:eastAsia="it-IT"/>
        </w:rPr>
        <w:t>a</w:t>
      </w:r>
      <w:r w:rsidRPr="00286E93">
        <w:rPr>
          <w:rFonts w:cstheme="minorHAnsi"/>
          <w:sz w:val="24"/>
          <w:szCs w:val="24"/>
          <w:lang w:eastAsia="it-IT"/>
        </w:rPr>
        <w:t xml:space="preserve"> relativ</w:t>
      </w:r>
      <w:r w:rsidR="00F25B8C" w:rsidRPr="00286E93">
        <w:rPr>
          <w:rFonts w:cstheme="minorHAnsi"/>
          <w:sz w:val="24"/>
          <w:szCs w:val="24"/>
          <w:lang w:eastAsia="it-IT"/>
        </w:rPr>
        <w:t>a</w:t>
      </w:r>
      <w:r w:rsidRPr="00286E93">
        <w:rPr>
          <w:rFonts w:cstheme="minorHAnsi"/>
          <w:sz w:val="24"/>
          <w:szCs w:val="24"/>
          <w:lang w:eastAsia="it-IT"/>
        </w:rPr>
        <w:t xml:space="preserve"> al contributo MIUR pari ad </w:t>
      </w:r>
      <w:r w:rsidRPr="00286E93">
        <w:rPr>
          <w:rFonts w:cstheme="minorHAnsi"/>
          <w:b/>
          <w:bCs/>
          <w:sz w:val="24"/>
          <w:szCs w:val="24"/>
          <w:lang w:eastAsia="it-IT"/>
        </w:rPr>
        <w:t xml:space="preserve">€ </w:t>
      </w:r>
      <w:r w:rsidR="00F25B8C" w:rsidRPr="00286E93">
        <w:rPr>
          <w:rFonts w:cstheme="minorHAnsi"/>
          <w:b/>
          <w:bCs/>
          <w:sz w:val="24"/>
          <w:szCs w:val="24"/>
          <w:lang w:eastAsia="it-IT"/>
        </w:rPr>
        <w:t>1.469,00 (come evincibile dalle tabelle ministeriali)</w:t>
      </w:r>
      <w:r w:rsidR="00286E93" w:rsidRPr="00286E93">
        <w:rPr>
          <w:rFonts w:cstheme="minorHAnsi"/>
          <w:b/>
          <w:bCs/>
          <w:sz w:val="24"/>
          <w:szCs w:val="24"/>
          <w:lang w:eastAsia="it-IT"/>
        </w:rPr>
        <w:t>.</w:t>
      </w:r>
    </w:p>
    <w:p w14:paraId="683AD834" w14:textId="77777777" w:rsidR="002812F3" w:rsidRPr="00703396" w:rsidRDefault="002812F3" w:rsidP="00227B88">
      <w:pPr>
        <w:jc w:val="both"/>
        <w:rPr>
          <w:rFonts w:cstheme="minorHAnsi"/>
          <w:color w:val="000000" w:themeColor="text1"/>
          <w:sz w:val="24"/>
          <w:szCs w:val="24"/>
          <w:lang w:eastAsia="it-IT"/>
        </w:rPr>
      </w:pPr>
    </w:p>
    <w:p w14:paraId="0A37E6DD" w14:textId="36E40ED0" w:rsidR="00A02C4C" w:rsidRPr="00703396" w:rsidRDefault="00A02C4C" w:rsidP="00A02C4C">
      <w:pPr>
        <w:pStyle w:val="Titolo3"/>
        <w:numPr>
          <w:ilvl w:val="0"/>
          <w:numId w:val="0"/>
        </w:numPr>
        <w:ind w:left="400" w:hanging="400"/>
        <w:rPr>
          <w:rFonts w:asciiTheme="minorHAnsi" w:hAnsiTheme="minorHAnsi" w:cstheme="minorHAnsi"/>
          <w:spacing w:val="0"/>
        </w:rPr>
      </w:pPr>
      <w:bookmarkStart w:id="14" w:name="_Toc101866062"/>
      <w:r w:rsidRPr="00703396">
        <w:rPr>
          <w:rFonts w:asciiTheme="minorHAnsi" w:hAnsiTheme="minorHAnsi" w:cstheme="minorHAnsi"/>
          <w:spacing w:val="0"/>
        </w:rPr>
        <w:t xml:space="preserve">3.2.2 </w:t>
      </w:r>
      <w:r w:rsidR="004D3B70" w:rsidRPr="00703396">
        <w:rPr>
          <w:rFonts w:asciiTheme="minorHAnsi" w:hAnsiTheme="minorHAnsi" w:cstheme="minorHAnsi"/>
          <w:spacing w:val="0"/>
        </w:rPr>
        <w:t>Focus sugli altri ricavi</w:t>
      </w:r>
      <w:bookmarkEnd w:id="14"/>
    </w:p>
    <w:p w14:paraId="7D8973B8" w14:textId="2F7C3C29" w:rsidR="004D3B70" w:rsidRPr="00703396" w:rsidRDefault="004D3B70" w:rsidP="004D3B70">
      <w:pPr>
        <w:jc w:val="both"/>
        <w:rPr>
          <w:rFonts w:cstheme="minorHAnsi"/>
          <w:sz w:val="24"/>
          <w:szCs w:val="24"/>
          <w:lang w:eastAsia="it-IT"/>
        </w:rPr>
      </w:pPr>
      <w:r w:rsidRPr="00286E93">
        <w:rPr>
          <w:rFonts w:cstheme="minorHAnsi"/>
          <w:sz w:val="24"/>
          <w:szCs w:val="24"/>
          <w:lang w:eastAsia="it-IT"/>
        </w:rPr>
        <w:t xml:space="preserve">Il Comune di </w:t>
      </w:r>
      <w:r w:rsidR="00286E93" w:rsidRPr="00286E93">
        <w:rPr>
          <w:rFonts w:cstheme="minorHAnsi"/>
          <w:sz w:val="24"/>
          <w:szCs w:val="24"/>
          <w:lang w:eastAsia="it-IT"/>
        </w:rPr>
        <w:t>Altidona</w:t>
      </w:r>
      <w:r w:rsidRPr="00286E93">
        <w:rPr>
          <w:rFonts w:cstheme="minorHAnsi"/>
          <w:sz w:val="24"/>
          <w:szCs w:val="24"/>
          <w:lang w:eastAsia="it-IT"/>
        </w:rPr>
        <w:t>, nell’anno 2020 ha percepito il corrispettivo CONAI indirettamente: l’importo è infatti transitato dalla Società affidataria che lo ha poi riversato parzialmente al Comune; il provento è stato quindi inserito dal Gestore</w:t>
      </w:r>
      <w:r w:rsidR="006B5290" w:rsidRPr="00286E93">
        <w:rPr>
          <w:rFonts w:cstheme="minorHAnsi"/>
          <w:sz w:val="24"/>
          <w:szCs w:val="24"/>
          <w:lang w:eastAsia="it-IT"/>
        </w:rPr>
        <w:t xml:space="preserve"> preposto all'attività di avvio a riciclaggio di una o più frazioni differenziate,</w:t>
      </w:r>
      <w:r w:rsidRPr="00286E93">
        <w:rPr>
          <w:rFonts w:cstheme="minorHAnsi"/>
          <w:sz w:val="24"/>
          <w:szCs w:val="24"/>
          <w:lang w:eastAsia="it-IT"/>
        </w:rPr>
        <w:t xml:space="preserve"> direttamente all’interno del proprio Piano Finanziario. Non è stato invece percepito alcun ricavo derivante dalla vendita di materiale ed energia a soggetti diversi.</w:t>
      </w:r>
    </w:p>
    <w:p w14:paraId="579B42A8" w14:textId="7F93CD97" w:rsidR="004D3B70" w:rsidRPr="00703396" w:rsidRDefault="004D3B70" w:rsidP="004D3B70">
      <w:pPr>
        <w:jc w:val="both"/>
        <w:rPr>
          <w:rFonts w:cstheme="minorHAnsi"/>
          <w:sz w:val="24"/>
          <w:szCs w:val="24"/>
          <w:lang w:eastAsia="it-IT"/>
        </w:rPr>
      </w:pPr>
    </w:p>
    <w:p w14:paraId="7E3178D9" w14:textId="122922C4" w:rsidR="004D3B70" w:rsidRPr="00703396" w:rsidRDefault="004D3B70" w:rsidP="004D3B70">
      <w:pPr>
        <w:pStyle w:val="Titolo3"/>
        <w:numPr>
          <w:ilvl w:val="0"/>
          <w:numId w:val="0"/>
        </w:numPr>
        <w:ind w:left="400" w:hanging="400"/>
        <w:rPr>
          <w:rFonts w:asciiTheme="minorHAnsi" w:hAnsiTheme="minorHAnsi" w:cstheme="minorHAnsi"/>
          <w:spacing w:val="0"/>
        </w:rPr>
      </w:pPr>
      <w:bookmarkStart w:id="15" w:name="_Toc101866063"/>
      <w:r w:rsidRPr="00703396">
        <w:rPr>
          <w:rFonts w:asciiTheme="minorHAnsi" w:hAnsiTheme="minorHAnsi" w:cstheme="minorHAnsi"/>
          <w:spacing w:val="0"/>
        </w:rPr>
        <w:t>3.2.3 Componenti di costo previsionali</w:t>
      </w:r>
      <w:bookmarkEnd w:id="15"/>
    </w:p>
    <w:p w14:paraId="4644332A" w14:textId="5BE1C479" w:rsidR="00E4350C" w:rsidRDefault="00286E93" w:rsidP="00E4350C">
      <w:pPr>
        <w:jc w:val="both"/>
        <w:rPr>
          <w:rFonts w:cstheme="minorHAnsi"/>
          <w:sz w:val="24"/>
          <w:szCs w:val="24"/>
          <w:lang w:eastAsia="it-IT"/>
        </w:rPr>
      </w:pPr>
      <w:r w:rsidRPr="00286E93">
        <w:rPr>
          <w:rFonts w:cstheme="minorHAnsi"/>
          <w:sz w:val="24"/>
          <w:szCs w:val="24"/>
          <w:lang w:eastAsia="it-IT"/>
        </w:rPr>
        <w:t>In continuità con quanto indicato sopra ai paragrafi 3.1.1 e 3.1.2, non si rileva la necessità di valorizzare le componenti di costo previsionale.</w:t>
      </w:r>
    </w:p>
    <w:p w14:paraId="7F3B485E" w14:textId="77777777" w:rsidR="00286E93" w:rsidRPr="00703396" w:rsidRDefault="00286E93" w:rsidP="00E4350C">
      <w:pPr>
        <w:jc w:val="both"/>
        <w:rPr>
          <w:rFonts w:cstheme="minorHAnsi"/>
          <w:sz w:val="24"/>
          <w:szCs w:val="24"/>
          <w:lang w:eastAsia="it-IT"/>
        </w:rPr>
      </w:pPr>
    </w:p>
    <w:p w14:paraId="5BA04458" w14:textId="3396A5DE" w:rsidR="00280EAD" w:rsidRPr="00703396" w:rsidRDefault="00280EAD" w:rsidP="00280EAD">
      <w:pPr>
        <w:pStyle w:val="Titolo3"/>
        <w:numPr>
          <w:ilvl w:val="0"/>
          <w:numId w:val="0"/>
        </w:numPr>
        <w:ind w:left="400" w:hanging="400"/>
        <w:rPr>
          <w:rFonts w:asciiTheme="minorHAnsi" w:hAnsiTheme="minorHAnsi" w:cstheme="minorHAnsi"/>
          <w:spacing w:val="0"/>
        </w:rPr>
      </w:pPr>
      <w:bookmarkStart w:id="16" w:name="_Toc101866064"/>
      <w:r w:rsidRPr="00703396">
        <w:rPr>
          <w:rFonts w:asciiTheme="minorHAnsi" w:hAnsiTheme="minorHAnsi" w:cstheme="minorHAnsi"/>
          <w:spacing w:val="0"/>
        </w:rPr>
        <w:t>3.2.4 Investimenti</w:t>
      </w:r>
      <w:bookmarkEnd w:id="16"/>
    </w:p>
    <w:p w14:paraId="31EC91C0" w14:textId="7063FDF9" w:rsidR="00280EAD" w:rsidRPr="00703396" w:rsidRDefault="00280EAD" w:rsidP="00280EAD">
      <w:pPr>
        <w:jc w:val="both"/>
        <w:rPr>
          <w:rFonts w:cstheme="minorHAnsi"/>
          <w:sz w:val="24"/>
          <w:szCs w:val="24"/>
          <w:lang w:eastAsia="it-IT"/>
        </w:rPr>
      </w:pPr>
      <w:r w:rsidRPr="00703396">
        <w:rPr>
          <w:rFonts w:cstheme="minorHAnsi"/>
          <w:sz w:val="24"/>
          <w:szCs w:val="24"/>
          <w:lang w:eastAsia="it-IT"/>
        </w:rPr>
        <w:t>Per quanto di propria competenza e con riferimento al periodo 2022-2025 l'Ufficio Tributi non presenta alcun fabbisogno di investimenti.</w:t>
      </w:r>
    </w:p>
    <w:p w14:paraId="47132714" w14:textId="44CEFA37" w:rsidR="00280EAD" w:rsidRPr="00703396" w:rsidRDefault="00280EAD" w:rsidP="00280EAD">
      <w:pPr>
        <w:jc w:val="both"/>
        <w:rPr>
          <w:rFonts w:cstheme="minorHAnsi"/>
          <w:sz w:val="24"/>
          <w:szCs w:val="24"/>
          <w:lang w:eastAsia="it-IT"/>
        </w:rPr>
      </w:pPr>
    </w:p>
    <w:p w14:paraId="6D3D1B81" w14:textId="5E3C795B" w:rsidR="00280EAD" w:rsidRDefault="00280EAD" w:rsidP="00280EAD">
      <w:pPr>
        <w:pStyle w:val="Titolo3"/>
        <w:numPr>
          <w:ilvl w:val="0"/>
          <w:numId w:val="0"/>
        </w:numPr>
        <w:ind w:left="400" w:hanging="400"/>
        <w:rPr>
          <w:rFonts w:asciiTheme="minorHAnsi" w:hAnsiTheme="minorHAnsi" w:cstheme="minorHAnsi"/>
          <w:spacing w:val="0"/>
        </w:rPr>
      </w:pPr>
      <w:bookmarkStart w:id="17" w:name="_Toc101866065"/>
      <w:r w:rsidRPr="00703396">
        <w:rPr>
          <w:rFonts w:asciiTheme="minorHAnsi" w:hAnsiTheme="minorHAnsi" w:cstheme="minorHAnsi"/>
          <w:spacing w:val="0"/>
        </w:rPr>
        <w:t>3.2.5 Dati relativi ai costi di capitale</w:t>
      </w:r>
      <w:bookmarkEnd w:id="17"/>
    </w:p>
    <w:p w14:paraId="5C482E15" w14:textId="7BC0719E"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Le componenti relative ai costi di capitale sono state elaborate seguendo la metodologia prevista dagli</w:t>
      </w:r>
      <w:r w:rsidR="00C97F45" w:rsidRPr="00703396">
        <w:rPr>
          <w:rFonts w:cstheme="minorHAnsi"/>
          <w:sz w:val="24"/>
          <w:szCs w:val="24"/>
          <w:lang w:eastAsia="it-IT"/>
        </w:rPr>
        <w:t xml:space="preserve"> articoli 12, 13, 14, 15 e 16 del MTR-2</w:t>
      </w:r>
      <w:r w:rsidRPr="00703396">
        <w:rPr>
          <w:rFonts w:cstheme="minorHAnsi"/>
          <w:sz w:val="24"/>
          <w:szCs w:val="24"/>
          <w:lang w:eastAsia="it-IT"/>
        </w:rPr>
        <w:t xml:space="preserve">. In particolare, i costi d'uso del capitale </w:t>
      </w:r>
      <w:r w:rsidRPr="00703396">
        <w:rPr>
          <w:rFonts w:ascii="Cambria Math" w:hAnsi="Cambria Math" w:cs="Cambria Math"/>
          <w:sz w:val="24"/>
          <w:szCs w:val="24"/>
          <w:lang w:eastAsia="it-IT"/>
        </w:rPr>
        <w:t>𝐶𝐾</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sono determinati dalla seguente formula:</w:t>
      </w:r>
    </w:p>
    <w:p w14:paraId="581CB325" w14:textId="77777777" w:rsidR="009D32C5" w:rsidRPr="00703396" w:rsidRDefault="009D32C5" w:rsidP="009D32C5">
      <w:pPr>
        <w:spacing w:line="276" w:lineRule="auto"/>
        <w:jc w:val="center"/>
        <w:rPr>
          <w:rFonts w:cstheme="minorHAnsi"/>
          <w:sz w:val="24"/>
          <w:szCs w:val="24"/>
          <w:lang w:eastAsia="it-IT"/>
        </w:rPr>
      </w:pPr>
      <w:r w:rsidRPr="00703396">
        <w:rPr>
          <w:rFonts w:ascii="Cambria Math" w:hAnsi="Cambria Math" w:cs="Cambria Math"/>
          <w:sz w:val="24"/>
          <w:szCs w:val="24"/>
          <w:lang w:eastAsia="it-IT"/>
        </w:rPr>
        <w:t>𝐶𝐾</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w:t>
      </w:r>
      <w:r w:rsidRPr="00703396">
        <w:rPr>
          <w:rFonts w:ascii="Cambria Math" w:hAnsi="Cambria Math" w:cs="Cambria Math"/>
          <w:sz w:val="24"/>
          <w:szCs w:val="24"/>
          <w:lang w:eastAsia="it-IT"/>
        </w:rPr>
        <w:t>𝐴𝑚𝑚</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w:t>
      </w:r>
      <w:r w:rsidRPr="00703396">
        <w:rPr>
          <w:rFonts w:ascii="Cambria Math" w:hAnsi="Cambria Math" w:cs="Cambria Math"/>
          <w:sz w:val="24"/>
          <w:szCs w:val="24"/>
          <w:lang w:eastAsia="it-IT"/>
        </w:rPr>
        <w:t>𝐴𝑐𝑐</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w:t>
      </w:r>
      <w:r w:rsidRPr="00703396">
        <w:rPr>
          <w:rFonts w:ascii="Cambria Math" w:hAnsi="Cambria Math" w:cs="Cambria Math"/>
          <w:sz w:val="24"/>
          <w:szCs w:val="24"/>
          <w:lang w:eastAsia="it-IT"/>
        </w:rPr>
        <w:t>𝑅</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w:t>
      </w:r>
      <w:r w:rsidRPr="00703396">
        <w:rPr>
          <w:rFonts w:ascii="Cambria Math" w:hAnsi="Cambria Math" w:cs="Cambria Math"/>
          <w:sz w:val="24"/>
          <w:szCs w:val="24"/>
          <w:lang w:eastAsia="it-IT"/>
        </w:rPr>
        <w:t>𝑅</w:t>
      </w:r>
      <w:r w:rsidRPr="00703396">
        <w:rPr>
          <w:rFonts w:ascii="Cambria Math" w:hAnsi="Cambria Math" w:cs="Cambria Math"/>
          <w:sz w:val="24"/>
          <w:szCs w:val="24"/>
          <w:vertAlign w:val="subscript"/>
          <w:lang w:eastAsia="it-IT"/>
        </w:rPr>
        <w:t>𝐿𝐼𝐶</w:t>
      </w:r>
      <w:r w:rsidRPr="00703396">
        <w:rPr>
          <w:rFonts w:cstheme="minorHAnsi"/>
          <w:sz w:val="24"/>
          <w:szCs w:val="24"/>
          <w:vertAlign w:val="subscript"/>
          <w:lang w:eastAsia="it-IT"/>
        </w:rPr>
        <w:t>,</w:t>
      </w:r>
      <w:r w:rsidRPr="00703396">
        <w:rPr>
          <w:rFonts w:ascii="Cambria Math" w:hAnsi="Cambria Math" w:cs="Cambria Math"/>
          <w:sz w:val="24"/>
          <w:szCs w:val="24"/>
          <w:vertAlign w:val="subscript"/>
          <w:lang w:eastAsia="it-IT"/>
        </w:rPr>
        <w:t>𝑎</w:t>
      </w:r>
    </w:p>
    <w:p w14:paraId="60117DBD" w14:textId="77777777"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dove:</w:t>
      </w:r>
    </w:p>
    <w:p w14:paraId="1A1199B3" w14:textId="77777777" w:rsidR="009D32C5" w:rsidRPr="00703396" w:rsidRDefault="009D32C5" w:rsidP="009D32C5">
      <w:pPr>
        <w:pStyle w:val="Paragrafoelenco"/>
        <w:numPr>
          <w:ilvl w:val="0"/>
          <w:numId w:val="9"/>
        </w:numPr>
        <w:spacing w:line="276" w:lineRule="auto"/>
        <w:jc w:val="both"/>
        <w:rPr>
          <w:rFonts w:cstheme="minorHAnsi"/>
          <w:sz w:val="24"/>
          <w:szCs w:val="24"/>
          <w:lang w:eastAsia="it-IT"/>
        </w:rPr>
      </w:pPr>
      <w:r w:rsidRPr="00703396">
        <w:rPr>
          <w:rFonts w:ascii="Cambria Math" w:hAnsi="Cambria Math" w:cs="Cambria Math"/>
          <w:sz w:val="24"/>
          <w:szCs w:val="24"/>
          <w:lang w:eastAsia="it-IT"/>
        </w:rPr>
        <w:t>𝐴𝑚𝑚</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la componente a copertura degli ammortamenti delle immobilizzazioni;</w:t>
      </w:r>
    </w:p>
    <w:p w14:paraId="304219EE" w14:textId="77777777" w:rsidR="009D32C5" w:rsidRPr="00703396" w:rsidRDefault="009D32C5" w:rsidP="009D32C5">
      <w:pPr>
        <w:pStyle w:val="Paragrafoelenco"/>
        <w:numPr>
          <w:ilvl w:val="0"/>
          <w:numId w:val="9"/>
        </w:numPr>
        <w:spacing w:line="276" w:lineRule="auto"/>
        <w:jc w:val="both"/>
        <w:rPr>
          <w:rFonts w:cstheme="minorHAnsi"/>
          <w:sz w:val="24"/>
          <w:szCs w:val="24"/>
          <w:lang w:eastAsia="it-IT"/>
        </w:rPr>
      </w:pPr>
      <w:r w:rsidRPr="00703396">
        <w:rPr>
          <w:rFonts w:ascii="Cambria Math" w:hAnsi="Cambria Math" w:cs="Cambria Math"/>
          <w:sz w:val="24"/>
          <w:szCs w:val="24"/>
          <w:lang w:eastAsia="it-IT"/>
        </w:rPr>
        <w:t>𝐴𝑐𝑐</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la componente a copertura degli accantonamenti ammessi al riconoscimento tariffario;</w:t>
      </w:r>
    </w:p>
    <w:p w14:paraId="72E99840" w14:textId="77777777" w:rsidR="009D32C5" w:rsidRPr="00703396" w:rsidRDefault="009D32C5" w:rsidP="009D32C5">
      <w:pPr>
        <w:pStyle w:val="Paragrafoelenco"/>
        <w:numPr>
          <w:ilvl w:val="0"/>
          <w:numId w:val="9"/>
        </w:numPr>
        <w:spacing w:line="276" w:lineRule="auto"/>
        <w:jc w:val="both"/>
        <w:rPr>
          <w:rFonts w:cstheme="minorHAnsi"/>
          <w:sz w:val="24"/>
          <w:szCs w:val="24"/>
          <w:lang w:eastAsia="it-IT"/>
        </w:rPr>
      </w:pPr>
      <w:r w:rsidRPr="00703396">
        <w:rPr>
          <w:rFonts w:ascii="Cambria Math" w:hAnsi="Cambria Math" w:cs="Cambria Math"/>
          <w:sz w:val="24"/>
          <w:szCs w:val="24"/>
          <w:lang w:eastAsia="it-IT"/>
        </w:rPr>
        <w:t>𝑅</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la componente relativa alla remunerazione del capitale investito netto per il servizio del ciclo integrato;</w:t>
      </w:r>
    </w:p>
    <w:p w14:paraId="0682B275" w14:textId="77777777" w:rsidR="009D32C5" w:rsidRPr="00703396" w:rsidRDefault="009D32C5" w:rsidP="009D32C5">
      <w:pPr>
        <w:pStyle w:val="Paragrafoelenco"/>
        <w:numPr>
          <w:ilvl w:val="0"/>
          <w:numId w:val="9"/>
        </w:numPr>
        <w:spacing w:line="276" w:lineRule="auto"/>
        <w:jc w:val="both"/>
        <w:rPr>
          <w:rFonts w:cstheme="minorHAnsi"/>
          <w:sz w:val="24"/>
          <w:szCs w:val="24"/>
          <w:lang w:eastAsia="it-IT"/>
        </w:rPr>
      </w:pPr>
      <w:r w:rsidRPr="00703396">
        <w:rPr>
          <w:rFonts w:ascii="Cambria Math" w:hAnsi="Cambria Math" w:cs="Cambria Math"/>
          <w:sz w:val="24"/>
          <w:szCs w:val="24"/>
          <w:lang w:eastAsia="it-IT"/>
        </w:rPr>
        <w:lastRenderedPageBreak/>
        <w:t>𝑅</w:t>
      </w:r>
      <w:r w:rsidRPr="00703396">
        <w:rPr>
          <w:rFonts w:ascii="Cambria Math" w:hAnsi="Cambria Math" w:cs="Cambria Math"/>
          <w:sz w:val="24"/>
          <w:szCs w:val="24"/>
          <w:vertAlign w:val="subscript"/>
          <w:lang w:eastAsia="it-IT"/>
        </w:rPr>
        <w:t>𝐿𝐼𝐶</w:t>
      </w:r>
      <w:r w:rsidRPr="00703396">
        <w:rPr>
          <w:rFonts w:cstheme="minorHAnsi"/>
          <w:sz w:val="24"/>
          <w:szCs w:val="24"/>
          <w:vertAlign w:val="subscript"/>
          <w:lang w:eastAsia="it-IT"/>
        </w:rPr>
        <w:t>,</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la componente relativa alla remunerazione delle immobilizzazioni in corso per il servizio del ciclo integrato.</w:t>
      </w:r>
    </w:p>
    <w:p w14:paraId="5F04F8DC" w14:textId="77777777" w:rsidR="009D32C5" w:rsidRPr="00703396" w:rsidRDefault="009D32C5" w:rsidP="009D32C5">
      <w:pPr>
        <w:spacing w:line="276" w:lineRule="auto"/>
        <w:jc w:val="both"/>
        <w:rPr>
          <w:rFonts w:cstheme="minorHAnsi"/>
          <w:sz w:val="24"/>
          <w:szCs w:val="24"/>
          <w:lang w:eastAsia="it-IT"/>
        </w:rPr>
      </w:pPr>
    </w:p>
    <w:p w14:paraId="5CCBFF44" w14:textId="77777777" w:rsidR="009D32C5" w:rsidRPr="00703396" w:rsidRDefault="009D32C5" w:rsidP="009D32C5">
      <w:pPr>
        <w:spacing w:line="276" w:lineRule="auto"/>
        <w:jc w:val="both"/>
        <w:rPr>
          <w:rFonts w:cstheme="minorHAnsi"/>
          <w:b/>
          <w:bCs/>
          <w:sz w:val="24"/>
          <w:szCs w:val="24"/>
          <w:u w:val="single"/>
          <w:lang w:eastAsia="it-IT"/>
        </w:rPr>
      </w:pPr>
      <w:r w:rsidRPr="00703396">
        <w:rPr>
          <w:rFonts w:cstheme="minorHAnsi"/>
          <w:b/>
          <w:bCs/>
          <w:sz w:val="24"/>
          <w:szCs w:val="24"/>
          <w:u w:val="single"/>
          <w:lang w:eastAsia="it-IT"/>
        </w:rPr>
        <w:t>Ammortamenti</w:t>
      </w:r>
    </w:p>
    <w:p w14:paraId="190CAA66" w14:textId="77777777" w:rsidR="009D32C5" w:rsidRPr="00703396" w:rsidRDefault="009D32C5" w:rsidP="009D32C5">
      <w:pPr>
        <w:spacing w:after="0" w:line="276" w:lineRule="auto"/>
        <w:jc w:val="both"/>
        <w:rPr>
          <w:rFonts w:cstheme="minorHAnsi"/>
          <w:sz w:val="24"/>
          <w:szCs w:val="24"/>
          <w:lang w:eastAsia="it-IT"/>
        </w:rPr>
      </w:pPr>
      <w:r w:rsidRPr="00703396">
        <w:rPr>
          <w:rFonts w:cstheme="minorHAnsi"/>
          <w:sz w:val="24"/>
          <w:szCs w:val="24"/>
          <w:lang w:eastAsia="it-IT"/>
        </w:rPr>
        <w:t>Il costo riconosciuto quale componente a copertura degli ammortamenti delle immobilizzazioni è pari al valore minimo tra:</w:t>
      </w:r>
    </w:p>
    <w:p w14:paraId="15F1C49A" w14:textId="77777777" w:rsidR="009D32C5" w:rsidRPr="00703396" w:rsidRDefault="009D32C5" w:rsidP="009D32C5">
      <w:pPr>
        <w:pStyle w:val="Paragrafoelenco"/>
        <w:numPr>
          <w:ilvl w:val="0"/>
          <w:numId w:val="10"/>
        </w:numPr>
        <w:spacing w:line="276" w:lineRule="auto"/>
        <w:rPr>
          <w:rFonts w:cstheme="minorHAnsi"/>
          <w:sz w:val="24"/>
          <w:szCs w:val="24"/>
          <w:lang w:eastAsia="it-IT"/>
        </w:rPr>
      </w:pPr>
      <w:r w:rsidRPr="00703396">
        <w:rPr>
          <w:rFonts w:cstheme="minorHAnsi"/>
          <w:sz w:val="24"/>
          <w:szCs w:val="24"/>
          <w:lang w:eastAsia="it-IT"/>
        </w:rPr>
        <w:t>(CI-FA)*dfl</w:t>
      </w:r>
    </w:p>
    <w:p w14:paraId="77100E9A" w14:textId="77777777" w:rsidR="009D32C5" w:rsidRPr="00703396" w:rsidRDefault="009D32C5" w:rsidP="009D32C5">
      <w:pPr>
        <w:pStyle w:val="Paragrafoelenco"/>
        <w:numPr>
          <w:ilvl w:val="0"/>
          <w:numId w:val="10"/>
        </w:numPr>
        <w:spacing w:line="276" w:lineRule="auto"/>
        <w:rPr>
          <w:rFonts w:cstheme="minorHAnsi"/>
          <w:sz w:val="24"/>
          <w:szCs w:val="24"/>
          <w:lang w:eastAsia="it-IT"/>
        </w:rPr>
      </w:pPr>
      <w:r w:rsidRPr="00703396">
        <w:rPr>
          <w:rFonts w:cstheme="minorHAnsi"/>
          <w:sz w:val="24"/>
          <w:szCs w:val="24"/>
          <w:lang w:eastAsia="it-IT"/>
        </w:rPr>
        <w:t>(CI*dfl)/VU</w:t>
      </w:r>
    </w:p>
    <w:p w14:paraId="3E0D0ECD" w14:textId="31C3365B"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 xml:space="preserve">dove </w:t>
      </w:r>
      <w:r w:rsidRPr="00703396">
        <w:rPr>
          <w:rFonts w:cstheme="minorHAnsi"/>
          <w:i/>
          <w:iCs/>
          <w:sz w:val="24"/>
          <w:szCs w:val="24"/>
          <w:lang w:eastAsia="it-IT"/>
        </w:rPr>
        <w:t>CI</w:t>
      </w:r>
      <w:r w:rsidRPr="00703396">
        <w:rPr>
          <w:rFonts w:cstheme="minorHAnsi"/>
          <w:sz w:val="24"/>
          <w:szCs w:val="24"/>
          <w:lang w:eastAsia="it-IT"/>
        </w:rPr>
        <w:t xml:space="preserve"> rappresenta il valore di prima iscrizione in inventario, </w:t>
      </w:r>
      <w:r w:rsidRPr="00703396">
        <w:rPr>
          <w:rFonts w:cstheme="minorHAnsi"/>
          <w:i/>
          <w:iCs/>
          <w:sz w:val="24"/>
          <w:szCs w:val="24"/>
          <w:lang w:eastAsia="it-IT"/>
        </w:rPr>
        <w:t>FA</w:t>
      </w:r>
      <w:r w:rsidRPr="00703396">
        <w:rPr>
          <w:rFonts w:cstheme="minorHAnsi"/>
          <w:sz w:val="24"/>
          <w:szCs w:val="24"/>
          <w:lang w:eastAsia="it-IT"/>
        </w:rPr>
        <w:t xml:space="preserve"> è il valore del fondo di ammortamento al 31 dicembre </w:t>
      </w:r>
      <w:r w:rsidR="003C7183" w:rsidRPr="00703396">
        <w:rPr>
          <w:rFonts w:cstheme="minorHAnsi"/>
          <w:sz w:val="24"/>
          <w:szCs w:val="24"/>
          <w:lang w:eastAsia="it-IT"/>
        </w:rPr>
        <w:t xml:space="preserve">dell'anno </w:t>
      </w:r>
      <w:r w:rsidR="003C7183" w:rsidRPr="00703396">
        <w:rPr>
          <w:rFonts w:cstheme="minorHAnsi"/>
          <w:i/>
          <w:iCs/>
          <w:sz w:val="24"/>
          <w:szCs w:val="24"/>
          <w:lang w:eastAsia="it-IT"/>
        </w:rPr>
        <w:t>a-2</w:t>
      </w:r>
      <w:r w:rsidRPr="00703396">
        <w:rPr>
          <w:rFonts w:cstheme="minorHAnsi"/>
          <w:sz w:val="24"/>
          <w:szCs w:val="24"/>
          <w:lang w:eastAsia="it-IT"/>
        </w:rPr>
        <w:t xml:space="preserve">, </w:t>
      </w:r>
      <w:r w:rsidRPr="00703396">
        <w:rPr>
          <w:rFonts w:cstheme="minorHAnsi"/>
          <w:i/>
          <w:iCs/>
          <w:sz w:val="24"/>
          <w:szCs w:val="24"/>
          <w:lang w:eastAsia="it-IT"/>
        </w:rPr>
        <w:t>dfl</w:t>
      </w:r>
      <w:r w:rsidRPr="00703396">
        <w:rPr>
          <w:rFonts w:cstheme="minorHAnsi"/>
          <w:sz w:val="24"/>
          <w:szCs w:val="24"/>
          <w:lang w:eastAsia="it-IT"/>
        </w:rPr>
        <w:t xml:space="preserve"> è il vettore che esprime il deflatore degli investimenti fissi lordi, e </w:t>
      </w:r>
      <w:r w:rsidRPr="00703396">
        <w:rPr>
          <w:rFonts w:cstheme="minorHAnsi"/>
          <w:i/>
          <w:iCs/>
          <w:sz w:val="24"/>
          <w:szCs w:val="24"/>
          <w:lang w:eastAsia="it-IT"/>
        </w:rPr>
        <w:t>VU</w:t>
      </w:r>
      <w:r w:rsidRPr="00703396">
        <w:rPr>
          <w:rFonts w:cstheme="minorHAnsi"/>
          <w:sz w:val="24"/>
          <w:szCs w:val="24"/>
          <w:lang w:eastAsia="it-IT"/>
        </w:rPr>
        <w:t xml:space="preserve"> rappresenta la vita utile regolatoria della categoria di cespite. </w:t>
      </w:r>
      <w:r w:rsidR="00791201" w:rsidRPr="00703396">
        <w:rPr>
          <w:rFonts w:cstheme="minorHAnsi"/>
          <w:i/>
          <w:iCs/>
          <w:sz w:val="24"/>
          <w:szCs w:val="24"/>
          <w:lang w:eastAsia="it-IT"/>
        </w:rPr>
        <w:t xml:space="preserve">VU </w:t>
      </w:r>
      <w:r w:rsidR="00791201" w:rsidRPr="00703396">
        <w:rPr>
          <w:rFonts w:cstheme="minorHAnsi"/>
          <w:sz w:val="24"/>
          <w:szCs w:val="24"/>
          <w:lang w:eastAsia="it-IT"/>
        </w:rPr>
        <w:t>e</w:t>
      </w:r>
      <w:r w:rsidR="00791201" w:rsidRPr="00703396">
        <w:rPr>
          <w:rFonts w:cstheme="minorHAnsi"/>
          <w:i/>
          <w:iCs/>
          <w:sz w:val="24"/>
          <w:szCs w:val="24"/>
          <w:lang w:eastAsia="it-IT"/>
        </w:rPr>
        <w:t xml:space="preserve"> </w:t>
      </w:r>
      <w:r w:rsidRPr="00703396">
        <w:rPr>
          <w:rFonts w:cstheme="minorHAnsi"/>
          <w:i/>
          <w:iCs/>
          <w:sz w:val="24"/>
          <w:szCs w:val="24"/>
          <w:lang w:eastAsia="it-IT"/>
        </w:rPr>
        <w:t>dfl</w:t>
      </w:r>
      <w:r w:rsidRPr="00703396">
        <w:rPr>
          <w:rFonts w:cstheme="minorHAnsi"/>
          <w:sz w:val="24"/>
          <w:szCs w:val="24"/>
          <w:lang w:eastAsia="it-IT"/>
        </w:rPr>
        <w:t xml:space="preserve"> sono </w:t>
      </w:r>
      <w:r w:rsidR="00791201" w:rsidRPr="00703396">
        <w:rPr>
          <w:rFonts w:cstheme="minorHAnsi"/>
          <w:sz w:val="24"/>
          <w:szCs w:val="24"/>
          <w:lang w:eastAsia="it-IT"/>
        </w:rPr>
        <w:t>definiti</w:t>
      </w:r>
      <w:r w:rsidRPr="00703396">
        <w:rPr>
          <w:rFonts w:cstheme="minorHAnsi"/>
          <w:sz w:val="24"/>
          <w:szCs w:val="24"/>
          <w:lang w:eastAsia="it-IT"/>
        </w:rPr>
        <w:t xml:space="preserve"> rispettivamente a</w:t>
      </w:r>
      <w:r w:rsidR="00791201" w:rsidRPr="00703396">
        <w:rPr>
          <w:rFonts w:cstheme="minorHAnsi"/>
          <w:sz w:val="24"/>
          <w:szCs w:val="24"/>
          <w:lang w:eastAsia="it-IT"/>
        </w:rPr>
        <w:t>i</w:t>
      </w:r>
      <w:r w:rsidRPr="00703396">
        <w:rPr>
          <w:rFonts w:cstheme="minorHAnsi"/>
          <w:sz w:val="24"/>
          <w:szCs w:val="24"/>
          <w:lang w:eastAsia="it-IT"/>
        </w:rPr>
        <w:t xml:space="preserve"> </w:t>
      </w:r>
      <w:r w:rsidR="00791201" w:rsidRPr="00703396">
        <w:rPr>
          <w:rFonts w:cstheme="minorHAnsi"/>
          <w:sz w:val="24"/>
          <w:szCs w:val="24"/>
          <w:lang w:eastAsia="it-IT"/>
        </w:rPr>
        <w:t>commi</w:t>
      </w:r>
      <w:r w:rsidRPr="00703396">
        <w:rPr>
          <w:rFonts w:cstheme="minorHAnsi"/>
          <w:sz w:val="24"/>
          <w:szCs w:val="24"/>
          <w:lang w:eastAsia="it-IT"/>
        </w:rPr>
        <w:t xml:space="preserve"> 1</w:t>
      </w:r>
      <w:r w:rsidR="00791201" w:rsidRPr="00703396">
        <w:rPr>
          <w:rFonts w:cstheme="minorHAnsi"/>
          <w:sz w:val="24"/>
          <w:szCs w:val="24"/>
          <w:lang w:eastAsia="it-IT"/>
        </w:rPr>
        <w:t>5</w:t>
      </w:r>
      <w:r w:rsidRPr="00703396">
        <w:rPr>
          <w:rFonts w:cstheme="minorHAnsi"/>
          <w:sz w:val="24"/>
          <w:szCs w:val="24"/>
          <w:lang w:eastAsia="it-IT"/>
        </w:rPr>
        <w:t>.</w:t>
      </w:r>
      <w:r w:rsidR="00791201" w:rsidRPr="00703396">
        <w:rPr>
          <w:rFonts w:cstheme="minorHAnsi"/>
          <w:sz w:val="24"/>
          <w:szCs w:val="24"/>
          <w:lang w:eastAsia="it-IT"/>
        </w:rPr>
        <w:t>2/15.3 del MTR-2 e all'art. 1.2 Deliberazione ARERA 459/2021.</w:t>
      </w:r>
    </w:p>
    <w:p w14:paraId="15FD94D5" w14:textId="62C94856"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Il riferimento a partire dal quale è stato calcolato il fondo di ammortamento è il dato desumibile dal</w:t>
      </w:r>
      <w:r w:rsidR="001E78C0" w:rsidRPr="00703396">
        <w:rPr>
          <w:rFonts w:cstheme="minorHAnsi"/>
          <w:sz w:val="24"/>
          <w:szCs w:val="24"/>
          <w:lang w:eastAsia="it-IT"/>
        </w:rPr>
        <w:t>l’inventario</w:t>
      </w:r>
      <w:r w:rsidRPr="00703396">
        <w:rPr>
          <w:rFonts w:cstheme="minorHAnsi"/>
          <w:sz w:val="24"/>
          <w:szCs w:val="24"/>
          <w:lang w:eastAsia="it-IT"/>
        </w:rPr>
        <w:t xml:space="preserve"> </w:t>
      </w:r>
      <w:r w:rsidR="001E78C0" w:rsidRPr="00703396">
        <w:rPr>
          <w:rFonts w:cstheme="minorHAnsi"/>
          <w:sz w:val="24"/>
          <w:szCs w:val="24"/>
          <w:lang w:eastAsia="it-IT"/>
        </w:rPr>
        <w:t>al 31/12/</w:t>
      </w:r>
      <w:r w:rsidRPr="00703396">
        <w:rPr>
          <w:rFonts w:cstheme="minorHAnsi"/>
          <w:sz w:val="24"/>
          <w:szCs w:val="24"/>
          <w:lang w:eastAsia="it-IT"/>
        </w:rPr>
        <w:t>2017. Gli aggiornamenti del fondo di ammortamento nelle annualità successive sono stati determinati a partire da tale valore, incrementandolo con le quote di ammortamento riconosciute ai fini tariffari</w:t>
      </w:r>
      <w:r w:rsidR="00AC6690" w:rsidRPr="00703396">
        <w:rPr>
          <w:rFonts w:cstheme="minorHAnsi"/>
          <w:sz w:val="24"/>
          <w:szCs w:val="24"/>
          <w:lang w:eastAsia="it-IT"/>
        </w:rPr>
        <w:t xml:space="preserve"> (come indicato nella FAQ 5.3 pubblicata sul sito ARERA in data 12/6/2020)</w:t>
      </w:r>
      <w:r w:rsidRPr="00703396">
        <w:rPr>
          <w:rFonts w:cstheme="minorHAnsi"/>
          <w:sz w:val="24"/>
          <w:szCs w:val="24"/>
          <w:lang w:eastAsia="it-IT"/>
        </w:rPr>
        <w:t>.</w:t>
      </w:r>
    </w:p>
    <w:p w14:paraId="2AC40BF7" w14:textId="1B001CFF" w:rsidR="009D32C5" w:rsidRDefault="009D32C5" w:rsidP="009D32C5">
      <w:pPr>
        <w:spacing w:line="276" w:lineRule="auto"/>
        <w:jc w:val="both"/>
        <w:rPr>
          <w:rFonts w:cstheme="minorHAnsi"/>
          <w:sz w:val="24"/>
          <w:szCs w:val="24"/>
          <w:lang w:val="en-NL" w:eastAsia="it-IT"/>
        </w:rPr>
      </w:pPr>
      <w:r w:rsidRPr="00703396">
        <w:rPr>
          <w:rFonts w:cstheme="minorHAnsi"/>
          <w:sz w:val="24"/>
          <w:szCs w:val="24"/>
          <w:lang w:eastAsia="it-IT"/>
        </w:rPr>
        <w:t>Il valore così determinato</w:t>
      </w:r>
      <w:r w:rsidR="003C7183" w:rsidRPr="00703396">
        <w:rPr>
          <w:rFonts w:cstheme="minorHAnsi"/>
          <w:sz w:val="24"/>
          <w:szCs w:val="24"/>
          <w:lang w:eastAsia="it-IT"/>
        </w:rPr>
        <w:t>, per l'anno 2022,</w:t>
      </w:r>
      <w:r w:rsidRPr="00703396">
        <w:rPr>
          <w:rFonts w:cstheme="minorHAnsi"/>
          <w:sz w:val="24"/>
          <w:szCs w:val="24"/>
          <w:lang w:eastAsia="it-IT"/>
        </w:rPr>
        <w:t xml:space="preserve"> è pari ad euro </w:t>
      </w:r>
      <w:r w:rsidR="005C6783" w:rsidRPr="005C6783">
        <w:rPr>
          <w:rFonts w:cstheme="minorHAnsi"/>
          <w:sz w:val="24"/>
          <w:szCs w:val="24"/>
          <w:lang w:eastAsia="it-IT"/>
        </w:rPr>
        <w:t>1.387</w:t>
      </w:r>
      <w:r w:rsidR="005C6783">
        <w:rPr>
          <w:rFonts w:cstheme="minorHAnsi"/>
          <w:sz w:val="24"/>
          <w:szCs w:val="24"/>
          <w:lang w:eastAsia="it-IT"/>
        </w:rPr>
        <w:t>.</w:t>
      </w:r>
    </w:p>
    <w:p w14:paraId="6E652399" w14:textId="77777777" w:rsidR="00775E70" w:rsidRPr="00775E70" w:rsidRDefault="00775E70" w:rsidP="009D32C5">
      <w:pPr>
        <w:spacing w:line="276" w:lineRule="auto"/>
        <w:jc w:val="both"/>
        <w:rPr>
          <w:rFonts w:cstheme="minorHAnsi"/>
          <w:sz w:val="24"/>
          <w:szCs w:val="24"/>
          <w:lang w:val="en-NL" w:eastAsia="it-IT"/>
        </w:rPr>
      </w:pPr>
    </w:p>
    <w:p w14:paraId="3E0BBB4D" w14:textId="77777777" w:rsidR="009D32C5" w:rsidRPr="00703396" w:rsidRDefault="009D32C5" w:rsidP="009D32C5">
      <w:pPr>
        <w:spacing w:line="276" w:lineRule="auto"/>
        <w:jc w:val="both"/>
        <w:rPr>
          <w:rFonts w:cstheme="minorHAnsi"/>
          <w:b/>
          <w:bCs/>
          <w:sz w:val="24"/>
          <w:szCs w:val="24"/>
          <w:u w:val="single"/>
          <w:lang w:eastAsia="it-IT"/>
        </w:rPr>
      </w:pPr>
      <w:r w:rsidRPr="00703396">
        <w:rPr>
          <w:rFonts w:cstheme="minorHAnsi"/>
          <w:b/>
          <w:bCs/>
          <w:sz w:val="24"/>
          <w:szCs w:val="24"/>
          <w:u w:val="single"/>
          <w:lang w:eastAsia="it-IT"/>
        </w:rPr>
        <w:t>Remunerazione del capitale</w:t>
      </w:r>
    </w:p>
    <w:p w14:paraId="631D5821" w14:textId="77777777"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La remunerazione del capitale investito netto per il servizio integrato di gestione dei rifiuti è calcolata come:</w:t>
      </w:r>
    </w:p>
    <w:p w14:paraId="77CADE0D" w14:textId="76F1B765" w:rsidR="009D32C5" w:rsidRPr="00703396" w:rsidRDefault="009D32C5" w:rsidP="009D32C5">
      <w:pPr>
        <w:spacing w:line="276" w:lineRule="auto"/>
        <w:rPr>
          <w:rFonts w:cstheme="minorHAnsi"/>
          <w:sz w:val="24"/>
          <w:szCs w:val="24"/>
          <w:lang w:eastAsia="it-IT"/>
        </w:rPr>
      </w:pPr>
      <w:r w:rsidRPr="00703396">
        <w:rPr>
          <w:rFonts w:ascii="Cambria Math" w:hAnsi="Cambria Math" w:cs="Cambria Math"/>
          <w:sz w:val="24"/>
          <w:szCs w:val="24"/>
          <w:lang w:eastAsia="it-IT"/>
        </w:rPr>
        <w:t>𝑅</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w:t>
      </w:r>
      <w:r w:rsidRPr="00703396">
        <w:rPr>
          <w:rFonts w:ascii="Cambria Math" w:hAnsi="Cambria Math" w:cs="Cambria Math"/>
          <w:sz w:val="24"/>
          <w:szCs w:val="24"/>
          <w:lang w:eastAsia="it-IT"/>
        </w:rPr>
        <w:t>𝑊𝐴𝐶𝐶</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w:t>
      </w:r>
      <w:r w:rsidRPr="00703396">
        <w:rPr>
          <w:rFonts w:ascii="Cambria Math" w:hAnsi="Cambria Math" w:cs="Cambria Math"/>
          <w:sz w:val="24"/>
          <w:szCs w:val="24"/>
          <w:lang w:eastAsia="it-IT"/>
        </w:rPr>
        <w:t>∗</w:t>
      </w:r>
      <w:r w:rsidRPr="00703396">
        <w:rPr>
          <w:rFonts w:cstheme="minorHAnsi"/>
          <w:sz w:val="24"/>
          <w:szCs w:val="24"/>
          <w:lang w:eastAsia="it-IT"/>
        </w:rPr>
        <w:t xml:space="preserve"> </w:t>
      </w:r>
      <w:r w:rsidRPr="00703396">
        <w:rPr>
          <w:rFonts w:ascii="Cambria Math" w:hAnsi="Cambria Math" w:cs="Cambria Math"/>
          <w:sz w:val="24"/>
          <w:szCs w:val="24"/>
          <w:lang w:eastAsia="it-IT"/>
        </w:rPr>
        <w:t>𝐶𝐼𝑁</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w:t>
      </w:r>
    </w:p>
    <w:p w14:paraId="1A0C9810" w14:textId="3FD3CE29" w:rsidR="009D32C5" w:rsidRPr="00703396" w:rsidRDefault="00AC24B4" w:rsidP="00AC24B4">
      <w:pPr>
        <w:spacing w:after="0" w:line="276" w:lineRule="auto"/>
        <w:jc w:val="both"/>
        <w:rPr>
          <w:rFonts w:cstheme="minorHAnsi"/>
          <w:sz w:val="24"/>
          <w:szCs w:val="24"/>
          <w:lang w:eastAsia="it-IT"/>
        </w:rPr>
      </w:pPr>
      <w:r w:rsidRPr="00703396">
        <w:rPr>
          <w:rFonts w:cstheme="minorHAnsi"/>
          <w:sz w:val="24"/>
          <w:szCs w:val="24"/>
          <w:lang w:eastAsia="it-IT"/>
        </w:rPr>
        <w:t>con</w:t>
      </w:r>
      <w:r w:rsidRPr="00703396">
        <w:rPr>
          <w:rFonts w:cstheme="minorHAnsi"/>
          <w:sz w:val="24"/>
          <w:szCs w:val="24"/>
          <w:lang w:eastAsia="it-IT"/>
        </w:rPr>
        <w:tab/>
      </w:r>
      <w:r w:rsidR="009D32C5" w:rsidRPr="00703396">
        <w:rPr>
          <w:rFonts w:ascii="Cambria Math" w:hAnsi="Cambria Math" w:cs="Cambria Math"/>
          <w:sz w:val="24"/>
          <w:szCs w:val="24"/>
          <w:lang w:eastAsia="it-IT"/>
        </w:rPr>
        <w:t>𝐶𝐼𝑁</w:t>
      </w:r>
      <w:r w:rsidR="009D32C5" w:rsidRPr="00703396">
        <w:rPr>
          <w:rFonts w:ascii="Cambria Math" w:hAnsi="Cambria Math" w:cs="Cambria Math"/>
          <w:sz w:val="24"/>
          <w:szCs w:val="24"/>
          <w:vertAlign w:val="subscript"/>
          <w:lang w:eastAsia="it-IT"/>
        </w:rPr>
        <w:t>𝑎</w:t>
      </w:r>
      <w:r w:rsidR="009D32C5" w:rsidRPr="00703396">
        <w:rPr>
          <w:rFonts w:cstheme="minorHAnsi"/>
          <w:sz w:val="24"/>
          <w:szCs w:val="24"/>
          <w:lang w:eastAsia="it-IT"/>
        </w:rPr>
        <w:t xml:space="preserve"> = </w:t>
      </w:r>
      <w:r w:rsidR="009D32C5" w:rsidRPr="00703396">
        <w:rPr>
          <w:rFonts w:ascii="Cambria Math" w:hAnsi="Cambria Math" w:cs="Cambria Math"/>
          <w:sz w:val="24"/>
          <w:szCs w:val="24"/>
          <w:lang w:eastAsia="it-IT"/>
        </w:rPr>
        <w:t>𝑀𝑎𝑥</w:t>
      </w:r>
      <w:r w:rsidR="009D32C5" w:rsidRPr="00703396">
        <w:rPr>
          <w:rFonts w:cstheme="minorHAnsi"/>
          <w:sz w:val="24"/>
          <w:szCs w:val="24"/>
          <w:lang w:eastAsia="it-IT"/>
        </w:rPr>
        <w:t xml:space="preserve"> {(</w:t>
      </w:r>
      <w:r w:rsidR="009D32C5" w:rsidRPr="00703396">
        <w:rPr>
          <w:rFonts w:ascii="Cambria Math" w:hAnsi="Cambria Math" w:cs="Cambria Math"/>
          <w:sz w:val="24"/>
          <w:szCs w:val="24"/>
          <w:lang w:eastAsia="it-IT"/>
        </w:rPr>
        <w:t>𝐼𝑀𝑁</w:t>
      </w:r>
      <w:r w:rsidR="009D32C5" w:rsidRPr="00703396">
        <w:rPr>
          <w:rFonts w:ascii="Cambria Math" w:hAnsi="Cambria Math" w:cs="Cambria Math"/>
          <w:sz w:val="24"/>
          <w:szCs w:val="24"/>
          <w:vertAlign w:val="subscript"/>
          <w:lang w:eastAsia="it-IT"/>
        </w:rPr>
        <w:t>𝑎</w:t>
      </w:r>
      <w:r w:rsidR="009D32C5" w:rsidRPr="00703396">
        <w:rPr>
          <w:rFonts w:cstheme="minorHAnsi"/>
          <w:sz w:val="24"/>
          <w:szCs w:val="24"/>
          <w:lang w:eastAsia="it-IT"/>
        </w:rPr>
        <w:t xml:space="preserve"> + </w:t>
      </w:r>
      <w:r w:rsidR="009D32C5" w:rsidRPr="00703396">
        <w:rPr>
          <w:rFonts w:ascii="Cambria Math" w:hAnsi="Cambria Math" w:cs="Cambria Math"/>
          <w:sz w:val="24"/>
          <w:szCs w:val="24"/>
          <w:lang w:eastAsia="it-IT"/>
        </w:rPr>
        <w:t>𝐶𝐶𝑁</w:t>
      </w:r>
      <w:r w:rsidR="009D32C5" w:rsidRPr="00703396">
        <w:rPr>
          <w:rFonts w:ascii="Cambria Math" w:hAnsi="Cambria Math" w:cs="Cambria Math"/>
          <w:sz w:val="24"/>
          <w:szCs w:val="24"/>
          <w:vertAlign w:val="subscript"/>
          <w:lang w:eastAsia="it-IT"/>
        </w:rPr>
        <w:t>𝑎</w:t>
      </w:r>
      <w:r w:rsidR="009D32C5" w:rsidRPr="00703396">
        <w:rPr>
          <w:rFonts w:cstheme="minorHAnsi"/>
          <w:sz w:val="24"/>
          <w:szCs w:val="24"/>
          <w:lang w:eastAsia="it-IT"/>
        </w:rPr>
        <w:t xml:space="preserve"> − </w:t>
      </w:r>
      <w:r w:rsidR="009D32C5" w:rsidRPr="00703396">
        <w:rPr>
          <w:rFonts w:ascii="Cambria Math" w:hAnsi="Cambria Math" w:cs="Cambria Math"/>
          <w:sz w:val="24"/>
          <w:szCs w:val="24"/>
          <w:lang w:eastAsia="it-IT"/>
        </w:rPr>
        <w:t>𝑃𝑅</w:t>
      </w:r>
      <w:r w:rsidR="009D32C5" w:rsidRPr="00703396">
        <w:rPr>
          <w:rFonts w:ascii="Cambria Math" w:hAnsi="Cambria Math" w:cs="Cambria Math"/>
          <w:sz w:val="24"/>
          <w:szCs w:val="24"/>
          <w:vertAlign w:val="subscript"/>
          <w:lang w:eastAsia="it-IT"/>
        </w:rPr>
        <w:t>𝑎</w:t>
      </w:r>
      <w:r w:rsidR="009D32C5" w:rsidRPr="00703396">
        <w:rPr>
          <w:rFonts w:cstheme="minorHAnsi"/>
          <w:sz w:val="24"/>
          <w:szCs w:val="24"/>
          <w:lang w:eastAsia="it-IT"/>
        </w:rPr>
        <w:t>); 0}</w:t>
      </w:r>
    </w:p>
    <w:p w14:paraId="560EEDEC" w14:textId="77777777" w:rsidR="009D32C5" w:rsidRPr="00703396" w:rsidRDefault="009D32C5" w:rsidP="00AC24B4">
      <w:pPr>
        <w:spacing w:after="0" w:line="276" w:lineRule="auto"/>
        <w:ind w:firstLine="708"/>
        <w:jc w:val="both"/>
        <w:rPr>
          <w:rFonts w:cstheme="minorHAnsi"/>
          <w:sz w:val="24"/>
          <w:szCs w:val="24"/>
          <w:lang w:eastAsia="it-IT"/>
        </w:rPr>
      </w:pPr>
      <w:r w:rsidRPr="00703396">
        <w:rPr>
          <w:rFonts w:ascii="Cambria Math" w:hAnsi="Cambria Math" w:cs="Cambria Math"/>
          <w:sz w:val="24"/>
          <w:szCs w:val="24"/>
          <w:lang w:eastAsia="it-IT"/>
        </w:rPr>
        <w:t>𝐼𝑀𝑁</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w:t>
      </w:r>
      <w:r w:rsidRPr="00703396">
        <w:rPr>
          <w:rFonts w:cstheme="minorHAnsi"/>
          <w:sz w:val="40"/>
          <w:szCs w:val="40"/>
          <w:lang w:eastAsia="it-IT"/>
        </w:rPr>
        <w:t>Σ</w:t>
      </w:r>
      <w:r w:rsidRPr="00703396">
        <w:rPr>
          <w:rFonts w:cstheme="minorHAnsi"/>
          <w:sz w:val="24"/>
          <w:szCs w:val="24"/>
          <w:lang w:eastAsia="it-IT"/>
        </w:rPr>
        <w:t xml:space="preserve"> (</w:t>
      </w:r>
      <w:r w:rsidRPr="00703396">
        <w:rPr>
          <w:rFonts w:ascii="Cambria Math" w:hAnsi="Cambria Math" w:cs="Cambria Math"/>
          <w:sz w:val="24"/>
          <w:szCs w:val="24"/>
          <w:lang w:eastAsia="it-IT"/>
        </w:rPr>
        <w:t>𝐶𝐼</w:t>
      </w:r>
      <w:r w:rsidRPr="00703396">
        <w:rPr>
          <w:rFonts w:cstheme="minorHAnsi"/>
          <w:sz w:val="24"/>
          <w:szCs w:val="24"/>
          <w:lang w:eastAsia="it-IT"/>
        </w:rPr>
        <w:t xml:space="preserve"> – </w:t>
      </w:r>
      <w:r w:rsidRPr="00703396">
        <w:rPr>
          <w:rFonts w:ascii="Cambria Math" w:hAnsi="Cambria Math" w:cs="Cambria Math"/>
          <w:sz w:val="24"/>
          <w:szCs w:val="24"/>
          <w:lang w:eastAsia="it-IT"/>
        </w:rPr>
        <w:t>𝐹𝐴</w:t>
      </w:r>
      <w:r w:rsidRPr="00703396">
        <w:rPr>
          <w:rFonts w:cstheme="minorHAnsi"/>
          <w:sz w:val="24"/>
          <w:szCs w:val="24"/>
          <w:lang w:eastAsia="it-IT"/>
        </w:rPr>
        <w:t>)*dfl</w:t>
      </w:r>
    </w:p>
    <w:p w14:paraId="15CA699A" w14:textId="08127223" w:rsidR="009D32C5" w:rsidRPr="00703396" w:rsidRDefault="009D32C5" w:rsidP="00AC24B4">
      <w:pPr>
        <w:spacing w:line="276" w:lineRule="auto"/>
        <w:ind w:firstLine="708"/>
        <w:jc w:val="both"/>
        <w:rPr>
          <w:rFonts w:cstheme="minorHAnsi"/>
          <w:sz w:val="24"/>
          <w:szCs w:val="24"/>
          <w:lang w:eastAsia="it-IT"/>
        </w:rPr>
      </w:pPr>
      <w:r w:rsidRPr="00703396">
        <w:rPr>
          <w:rFonts w:ascii="Cambria Math" w:hAnsi="Cambria Math" w:cs="Cambria Math"/>
          <w:sz w:val="24"/>
          <w:szCs w:val="24"/>
          <w:lang w:eastAsia="it-IT"/>
        </w:rPr>
        <w:t>𝐶𝐶𝑁</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 (90/365</w:t>
      </w:r>
      <w:r w:rsidRPr="00703396">
        <w:rPr>
          <w:rFonts w:ascii="Cambria Math" w:hAnsi="Cambria Math" w:cs="Cambria Math"/>
          <w:sz w:val="24"/>
          <w:szCs w:val="24"/>
          <w:lang w:eastAsia="it-IT"/>
        </w:rPr>
        <w:t>∗𝑅𝑖𝑐𝑎𝑣𝑖</w:t>
      </w:r>
      <w:r w:rsidRPr="00703396">
        <w:rPr>
          <w:rFonts w:ascii="Cambria Math" w:hAnsi="Cambria Math" w:cs="Cambria Math"/>
          <w:sz w:val="24"/>
          <w:szCs w:val="24"/>
          <w:vertAlign w:val="subscript"/>
          <w:lang w:eastAsia="it-IT"/>
        </w:rPr>
        <w:t>𝑎</w:t>
      </w:r>
      <w:r w:rsidRPr="00703396">
        <w:rPr>
          <w:rFonts w:cstheme="minorHAnsi"/>
          <w:sz w:val="24"/>
          <w:szCs w:val="24"/>
          <w:vertAlign w:val="subscript"/>
          <w:lang w:eastAsia="it-IT"/>
        </w:rPr>
        <w:t>−2</w:t>
      </w:r>
      <w:r w:rsidRPr="00703396">
        <w:rPr>
          <w:rFonts w:cstheme="minorHAnsi"/>
          <w:sz w:val="24"/>
          <w:szCs w:val="24"/>
          <w:lang w:eastAsia="it-IT"/>
        </w:rPr>
        <w:t xml:space="preserve"> – 60/365</w:t>
      </w:r>
      <w:r w:rsidRPr="00703396">
        <w:rPr>
          <w:rFonts w:ascii="Cambria Math" w:hAnsi="Cambria Math" w:cs="Cambria Math"/>
          <w:sz w:val="24"/>
          <w:szCs w:val="24"/>
          <w:lang w:eastAsia="it-IT"/>
        </w:rPr>
        <w:t>∗𝐶𝑜𝑠𝑡𝑖</w:t>
      </w:r>
      <w:r w:rsidRPr="00703396">
        <w:rPr>
          <w:rFonts w:ascii="Cambria Math" w:hAnsi="Cambria Math" w:cs="Cambria Math"/>
          <w:sz w:val="24"/>
          <w:szCs w:val="24"/>
          <w:vertAlign w:val="subscript"/>
          <w:lang w:eastAsia="it-IT"/>
        </w:rPr>
        <w:t>𝑎</w:t>
      </w:r>
      <w:r w:rsidRPr="00703396">
        <w:rPr>
          <w:rFonts w:cstheme="minorHAnsi"/>
          <w:sz w:val="24"/>
          <w:szCs w:val="24"/>
          <w:vertAlign w:val="subscript"/>
          <w:lang w:eastAsia="it-IT"/>
        </w:rPr>
        <w:t>−2</w:t>
      </w:r>
      <w:r w:rsidRPr="00703396">
        <w:rPr>
          <w:rFonts w:cstheme="minorHAnsi"/>
          <w:sz w:val="24"/>
          <w:szCs w:val="24"/>
          <w:lang w:eastAsia="it-IT"/>
        </w:rPr>
        <w:t>)*(1,0</w:t>
      </w:r>
      <w:r w:rsidR="00407B1F" w:rsidRPr="00703396">
        <w:rPr>
          <w:rFonts w:cstheme="minorHAnsi"/>
          <w:sz w:val="24"/>
          <w:szCs w:val="24"/>
          <w:lang w:eastAsia="it-IT"/>
        </w:rPr>
        <w:t>0</w:t>
      </w:r>
      <w:r w:rsidRPr="00703396">
        <w:rPr>
          <w:rFonts w:cstheme="minorHAnsi"/>
          <w:sz w:val="24"/>
          <w:szCs w:val="24"/>
          <w:lang w:eastAsia="it-IT"/>
        </w:rPr>
        <w:t>1)*(1,00</w:t>
      </w:r>
      <w:r w:rsidR="00407B1F" w:rsidRPr="00703396">
        <w:rPr>
          <w:rFonts w:cstheme="minorHAnsi"/>
          <w:sz w:val="24"/>
          <w:szCs w:val="24"/>
          <w:lang w:eastAsia="it-IT"/>
        </w:rPr>
        <w:t>2</w:t>
      </w:r>
      <w:r w:rsidRPr="00703396">
        <w:rPr>
          <w:rFonts w:cstheme="minorHAnsi"/>
          <w:sz w:val="24"/>
          <w:szCs w:val="24"/>
          <w:lang w:eastAsia="it-IT"/>
        </w:rPr>
        <w:t>)</w:t>
      </w:r>
      <w:r w:rsidR="00223D0A" w:rsidRPr="00703396">
        <w:rPr>
          <w:rStyle w:val="Rimandonotaapidipagina"/>
          <w:rFonts w:cstheme="minorHAnsi"/>
          <w:sz w:val="24"/>
          <w:szCs w:val="24"/>
          <w:lang w:eastAsia="it-IT"/>
        </w:rPr>
        <w:footnoteReference w:id="1"/>
      </w:r>
    </w:p>
    <w:p w14:paraId="1141FDE2" w14:textId="403DE395" w:rsidR="009D32C5" w:rsidRPr="00703396" w:rsidRDefault="00AC24B4" w:rsidP="009D32C5">
      <w:pPr>
        <w:spacing w:line="276" w:lineRule="auto"/>
        <w:jc w:val="both"/>
        <w:rPr>
          <w:rFonts w:cstheme="minorHAnsi"/>
          <w:sz w:val="24"/>
          <w:szCs w:val="24"/>
          <w:lang w:eastAsia="it-IT"/>
        </w:rPr>
      </w:pPr>
      <w:r w:rsidRPr="00703396">
        <w:rPr>
          <w:rFonts w:cstheme="minorHAnsi"/>
          <w:sz w:val="24"/>
          <w:szCs w:val="24"/>
          <w:lang w:eastAsia="it-IT"/>
        </w:rPr>
        <w:t xml:space="preserve">e </w:t>
      </w:r>
      <w:r w:rsidR="009D32C5" w:rsidRPr="00703396">
        <w:rPr>
          <w:rFonts w:cstheme="minorHAnsi"/>
          <w:sz w:val="24"/>
          <w:szCs w:val="24"/>
          <w:lang w:eastAsia="it-IT"/>
        </w:rPr>
        <w:t>dove:</w:t>
      </w:r>
    </w:p>
    <w:p w14:paraId="2BB57EC6" w14:textId="77777777" w:rsidR="009D32C5" w:rsidRPr="00703396" w:rsidRDefault="009D32C5" w:rsidP="009D32C5">
      <w:pPr>
        <w:spacing w:line="276" w:lineRule="auto"/>
        <w:jc w:val="both"/>
        <w:rPr>
          <w:rFonts w:cstheme="minorHAnsi"/>
          <w:sz w:val="24"/>
          <w:szCs w:val="24"/>
          <w:lang w:eastAsia="it-IT"/>
        </w:rPr>
      </w:pPr>
      <w:r w:rsidRPr="00703396">
        <w:rPr>
          <w:rFonts w:ascii="Cambria Math" w:hAnsi="Cambria Math" w:cs="Cambria Math"/>
          <w:sz w:val="24"/>
          <w:szCs w:val="24"/>
          <w:lang w:eastAsia="it-IT"/>
        </w:rPr>
        <w:t>𝑊𝐴𝐶𝐶</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il tasso di remunerazione del capitale investito netto per il servizio del ciclo integrato (6,3%). Agli investimenti effettuati successivamente al 31 dicembre 2017, si applica una maggiorazione del tasso di remunerazione del capitale investito (time lag) pari all’1%, a copertura </w:t>
      </w:r>
      <w:r w:rsidRPr="00703396">
        <w:rPr>
          <w:rFonts w:cstheme="minorHAnsi"/>
          <w:sz w:val="24"/>
          <w:szCs w:val="24"/>
          <w:lang w:eastAsia="it-IT"/>
        </w:rPr>
        <w:lastRenderedPageBreak/>
        <w:t>degli oneri derivanti dallo sfasamento temporale tra l’anno di realizzazione degli investimenti (a-2) e l’anno di riconoscimento tariffario (a).</w:t>
      </w:r>
    </w:p>
    <w:p w14:paraId="6CCD4A31" w14:textId="77777777" w:rsidR="009D32C5" w:rsidRPr="00703396" w:rsidRDefault="009D32C5" w:rsidP="009D32C5">
      <w:pPr>
        <w:spacing w:line="276" w:lineRule="auto"/>
        <w:jc w:val="both"/>
        <w:rPr>
          <w:rFonts w:cstheme="minorHAnsi"/>
          <w:sz w:val="24"/>
          <w:szCs w:val="24"/>
          <w:lang w:eastAsia="it-IT"/>
        </w:rPr>
      </w:pPr>
      <w:r w:rsidRPr="00703396">
        <w:rPr>
          <w:rFonts w:ascii="Cambria Math" w:hAnsi="Cambria Math" w:cs="Cambria Math"/>
          <w:sz w:val="24"/>
          <w:szCs w:val="24"/>
          <w:lang w:eastAsia="it-IT"/>
        </w:rPr>
        <w:t>𝐶𝐼𝑁</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il capitale investito netto riconosciuto a fini regolatori</w:t>
      </w:r>
    </w:p>
    <w:p w14:paraId="1AA438F5" w14:textId="77777777" w:rsidR="009D32C5" w:rsidRPr="00703396" w:rsidRDefault="009D32C5" w:rsidP="009D32C5">
      <w:pPr>
        <w:spacing w:line="276" w:lineRule="auto"/>
        <w:jc w:val="both"/>
        <w:rPr>
          <w:rFonts w:cstheme="minorHAnsi"/>
          <w:sz w:val="24"/>
          <w:szCs w:val="24"/>
          <w:lang w:eastAsia="it-IT"/>
        </w:rPr>
      </w:pPr>
      <w:r w:rsidRPr="00703396">
        <w:rPr>
          <w:rFonts w:ascii="Cambria Math" w:hAnsi="Cambria Math" w:cs="Cambria Math"/>
          <w:sz w:val="24"/>
          <w:szCs w:val="24"/>
          <w:lang w:eastAsia="it-IT"/>
        </w:rPr>
        <w:t>𝐼𝑀𝑁</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sono le immobilizzazioni nette</w:t>
      </w:r>
    </w:p>
    <w:p w14:paraId="2929CBEC" w14:textId="77777777" w:rsidR="009D32C5" w:rsidRPr="00703396" w:rsidRDefault="009D32C5" w:rsidP="009D32C5">
      <w:pPr>
        <w:spacing w:line="276" w:lineRule="auto"/>
        <w:jc w:val="both"/>
        <w:rPr>
          <w:rFonts w:cstheme="minorHAnsi"/>
          <w:sz w:val="24"/>
          <w:szCs w:val="24"/>
          <w:lang w:eastAsia="it-IT"/>
        </w:rPr>
      </w:pPr>
      <w:r w:rsidRPr="00703396">
        <w:rPr>
          <w:rFonts w:ascii="Cambria Math" w:hAnsi="Cambria Math" w:cs="Cambria Math"/>
          <w:sz w:val="24"/>
          <w:szCs w:val="24"/>
          <w:lang w:eastAsia="it-IT"/>
        </w:rPr>
        <w:t>𝐶𝐶𝑁</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la quota a compensazione del capitale circolante netto</w:t>
      </w:r>
    </w:p>
    <w:p w14:paraId="4380EA0F" w14:textId="75C0E462" w:rsidR="009D32C5" w:rsidRPr="00703396" w:rsidRDefault="009D32C5" w:rsidP="009D32C5">
      <w:pPr>
        <w:spacing w:line="276" w:lineRule="auto"/>
        <w:jc w:val="both"/>
        <w:rPr>
          <w:rFonts w:cstheme="minorHAnsi"/>
          <w:sz w:val="24"/>
          <w:szCs w:val="24"/>
          <w:lang w:eastAsia="it-IT"/>
        </w:rPr>
      </w:pPr>
      <w:r w:rsidRPr="00703396">
        <w:rPr>
          <w:rFonts w:ascii="Cambria Math" w:hAnsi="Cambria Math" w:cs="Cambria Math"/>
          <w:sz w:val="24"/>
          <w:szCs w:val="24"/>
          <w:lang w:eastAsia="it-IT"/>
        </w:rPr>
        <w:t>𝑃𝑅</w:t>
      </w:r>
      <w:r w:rsidRPr="00703396">
        <w:rPr>
          <w:rFonts w:ascii="Cambria Math" w:hAnsi="Cambria Math" w:cs="Cambria Math"/>
          <w:sz w:val="24"/>
          <w:szCs w:val="24"/>
          <w:vertAlign w:val="subscript"/>
          <w:lang w:eastAsia="it-IT"/>
        </w:rPr>
        <w:t>𝑎</w:t>
      </w:r>
      <w:r w:rsidRPr="00703396">
        <w:rPr>
          <w:rFonts w:cstheme="minorHAnsi"/>
          <w:sz w:val="24"/>
          <w:szCs w:val="24"/>
          <w:lang w:eastAsia="it-IT"/>
        </w:rPr>
        <w:t xml:space="preserve"> è il valore delle poste rettificative del capitale che includono forme alternative di finanziamento presenti nel bilancio; in particolare il valore dei fondi per il trattamento di fine rapporto, incluso il fondo di trattamento di fine mandato degli amministratori, nonché i fondi rischi e oneri ed eventuali fondi per il ripristino beni di terzi.</w:t>
      </w:r>
    </w:p>
    <w:p w14:paraId="43A02CAC" w14:textId="77777777" w:rsidR="009D32C5" w:rsidRPr="00703396" w:rsidRDefault="009D32C5" w:rsidP="009D32C5">
      <w:pPr>
        <w:spacing w:line="276" w:lineRule="auto"/>
        <w:jc w:val="both"/>
        <w:rPr>
          <w:rFonts w:cstheme="minorHAnsi"/>
          <w:sz w:val="24"/>
          <w:szCs w:val="24"/>
          <w:lang w:eastAsia="it-IT"/>
        </w:rPr>
      </w:pPr>
    </w:p>
    <w:p w14:paraId="72DE998C" w14:textId="77777777" w:rsidR="009D32C5" w:rsidRPr="00703396" w:rsidRDefault="009D32C5" w:rsidP="009D32C5">
      <w:pPr>
        <w:spacing w:line="276" w:lineRule="auto"/>
        <w:jc w:val="both"/>
        <w:rPr>
          <w:rFonts w:cstheme="minorHAnsi"/>
          <w:i/>
          <w:iCs/>
          <w:sz w:val="24"/>
          <w:szCs w:val="24"/>
          <w:u w:val="single"/>
          <w:lang w:eastAsia="it-IT"/>
        </w:rPr>
      </w:pPr>
      <w:r w:rsidRPr="00703396">
        <w:rPr>
          <w:rFonts w:cstheme="minorHAnsi"/>
          <w:i/>
          <w:iCs/>
          <w:sz w:val="24"/>
          <w:szCs w:val="24"/>
          <w:u w:val="single"/>
          <w:lang w:eastAsia="it-IT"/>
        </w:rPr>
        <w:t>IMN</w:t>
      </w:r>
    </w:p>
    <w:p w14:paraId="30C6432A" w14:textId="1A7677A4" w:rsidR="009D32C5" w:rsidRPr="00703396" w:rsidRDefault="001E78C0" w:rsidP="009D32C5">
      <w:pPr>
        <w:spacing w:line="276" w:lineRule="auto"/>
        <w:jc w:val="both"/>
        <w:rPr>
          <w:rFonts w:cstheme="minorHAnsi"/>
          <w:sz w:val="24"/>
          <w:szCs w:val="24"/>
        </w:rPr>
      </w:pPr>
      <w:r w:rsidRPr="00703396">
        <w:rPr>
          <w:rFonts w:cstheme="minorHAnsi"/>
          <w:sz w:val="24"/>
          <w:szCs w:val="24"/>
          <w:lang w:eastAsia="it-IT"/>
        </w:rPr>
        <w:t>Il valore delle immobilizzazioni IMN, funzionale al calcolo dei costi sopra indicati, è stato definito come da art. 13 del MTR-2 considerando</w:t>
      </w:r>
      <w:r w:rsidR="009D32C5" w:rsidRPr="00703396">
        <w:rPr>
          <w:rFonts w:cstheme="minorHAnsi"/>
          <w:sz w:val="24"/>
          <w:szCs w:val="24"/>
        </w:rPr>
        <w:t xml:space="preserve"> tutti i cespiti di proprietà dell’ente in esercizio al 31 dicembre 20</w:t>
      </w:r>
      <w:r w:rsidR="002D69CF" w:rsidRPr="00703396">
        <w:rPr>
          <w:rFonts w:cstheme="minorHAnsi"/>
          <w:sz w:val="24"/>
          <w:szCs w:val="24"/>
        </w:rPr>
        <w:t>20</w:t>
      </w:r>
      <w:r w:rsidR="009D32C5" w:rsidRPr="00703396">
        <w:rPr>
          <w:rFonts w:cstheme="minorHAnsi"/>
          <w:sz w:val="24"/>
          <w:szCs w:val="24"/>
        </w:rPr>
        <w:t xml:space="preserve"> per i quali il fondo di ammortamento non abbia già coperto il valore lordo degli stessi.</w:t>
      </w:r>
      <w:r w:rsidR="00163461" w:rsidRPr="00703396">
        <w:rPr>
          <w:rFonts w:cstheme="minorHAnsi"/>
          <w:sz w:val="24"/>
          <w:szCs w:val="24"/>
        </w:rPr>
        <w:t xml:space="preserve"> </w:t>
      </w:r>
      <w:r w:rsidR="009D32C5" w:rsidRPr="00703396">
        <w:rPr>
          <w:rFonts w:cstheme="minorHAnsi"/>
          <w:sz w:val="24"/>
          <w:szCs w:val="24"/>
        </w:rPr>
        <w:t>Sono considera</w:t>
      </w:r>
      <w:r w:rsidR="00163461" w:rsidRPr="00703396">
        <w:rPr>
          <w:rFonts w:cstheme="minorHAnsi"/>
          <w:sz w:val="24"/>
          <w:szCs w:val="24"/>
        </w:rPr>
        <w:t>ti</w:t>
      </w:r>
      <w:r w:rsidR="009D32C5" w:rsidRPr="00703396">
        <w:rPr>
          <w:rFonts w:cstheme="minorHAnsi"/>
          <w:sz w:val="24"/>
          <w:szCs w:val="24"/>
        </w:rPr>
        <w:t xml:space="preserve"> sia i cespiti specifici, desumibili dalla classificazione riportata </w:t>
      </w:r>
      <w:r w:rsidR="002D69CF" w:rsidRPr="00703396">
        <w:rPr>
          <w:rFonts w:cstheme="minorHAnsi"/>
          <w:sz w:val="24"/>
          <w:szCs w:val="24"/>
        </w:rPr>
        <w:t>all'a</w:t>
      </w:r>
      <w:r w:rsidR="009D32C5" w:rsidRPr="00703396">
        <w:rPr>
          <w:rFonts w:cstheme="minorHAnsi"/>
          <w:sz w:val="24"/>
          <w:szCs w:val="24"/>
        </w:rPr>
        <w:t>rticolo 1</w:t>
      </w:r>
      <w:r w:rsidR="002D69CF" w:rsidRPr="00703396">
        <w:rPr>
          <w:rFonts w:cstheme="minorHAnsi"/>
          <w:sz w:val="24"/>
          <w:szCs w:val="24"/>
        </w:rPr>
        <w:t>5</w:t>
      </w:r>
      <w:r w:rsidR="009D32C5" w:rsidRPr="00703396">
        <w:rPr>
          <w:rFonts w:cstheme="minorHAnsi"/>
          <w:sz w:val="24"/>
          <w:szCs w:val="24"/>
        </w:rPr>
        <w:t>.2</w:t>
      </w:r>
      <w:r w:rsidR="002D69CF" w:rsidRPr="00703396">
        <w:rPr>
          <w:rFonts w:cstheme="minorHAnsi"/>
          <w:sz w:val="24"/>
          <w:szCs w:val="24"/>
        </w:rPr>
        <w:t xml:space="preserve"> del MTR-2</w:t>
      </w:r>
      <w:r w:rsidR="009D32C5" w:rsidRPr="00703396">
        <w:rPr>
          <w:rFonts w:cstheme="minorHAnsi"/>
          <w:sz w:val="24"/>
          <w:szCs w:val="24"/>
        </w:rPr>
        <w:t>, sia i cespiti comuni quali ad esempio sistemi informativi, telecontrollo, autoveicoli.</w:t>
      </w:r>
    </w:p>
    <w:p w14:paraId="410B6997" w14:textId="77777777"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Questa grandezza viene utilizzata nelle formule della determinazione degli ammortamenti (</w:t>
      </w:r>
      <w:r w:rsidRPr="00703396">
        <w:rPr>
          <w:rFonts w:ascii="Cambria Math" w:hAnsi="Cambria Math" w:cs="Cambria Math"/>
          <w:sz w:val="24"/>
          <w:szCs w:val="24"/>
        </w:rPr>
        <w:t>𝐴𝑚𝑚</w:t>
      </w:r>
      <w:r w:rsidRPr="00703396">
        <w:rPr>
          <w:rFonts w:cstheme="minorHAnsi"/>
          <w:sz w:val="24"/>
          <w:szCs w:val="24"/>
          <w:lang w:eastAsia="it-IT"/>
        </w:rPr>
        <w:t>) e nella determinazione della remunerazione del capitale (</w:t>
      </w:r>
      <w:r w:rsidRPr="00703396">
        <w:rPr>
          <w:rFonts w:ascii="Cambria Math" w:hAnsi="Cambria Math" w:cs="Cambria Math"/>
          <w:sz w:val="24"/>
          <w:szCs w:val="24"/>
        </w:rPr>
        <w:t>𝑅</w:t>
      </w:r>
      <w:r w:rsidRPr="00703396">
        <w:rPr>
          <w:rFonts w:cstheme="minorHAnsi"/>
          <w:sz w:val="24"/>
          <w:szCs w:val="24"/>
          <w:lang w:eastAsia="it-IT"/>
        </w:rPr>
        <w:t>).</w:t>
      </w:r>
    </w:p>
    <w:p w14:paraId="102E4683" w14:textId="77777777"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Il valore complessivo delle immobilizzazioni (IMN</w:t>
      </w:r>
      <w:r w:rsidRPr="00703396">
        <w:rPr>
          <w:rFonts w:cstheme="minorHAnsi"/>
          <w:sz w:val="24"/>
          <w:szCs w:val="24"/>
          <w:vertAlign w:val="subscript"/>
          <w:lang w:eastAsia="it-IT"/>
        </w:rPr>
        <w:t>a</w:t>
      </w:r>
      <w:r w:rsidRPr="00703396">
        <w:rPr>
          <w:rFonts w:cstheme="minorHAnsi"/>
          <w:sz w:val="24"/>
          <w:szCs w:val="24"/>
          <w:lang w:eastAsia="it-IT"/>
        </w:rPr>
        <w:t>) è quindi determinato dalla sommatoria dei valori residui (valore di iscrizione – fondo ammortamento) di ogni singolo cespite, ognuno dei quali rettificato dal deflatore in base all’anno di acquisizione e da eventuali contributi in conto capitale.</w:t>
      </w:r>
    </w:p>
    <w:p w14:paraId="5C18A1B5" w14:textId="067EFBC0"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Il valore così determinato</w:t>
      </w:r>
      <w:r w:rsidR="002D69CF" w:rsidRPr="00703396">
        <w:rPr>
          <w:rFonts w:cstheme="minorHAnsi"/>
          <w:sz w:val="24"/>
          <w:szCs w:val="24"/>
          <w:lang w:eastAsia="it-IT"/>
        </w:rPr>
        <w:t>, per l'anno 2022,</w:t>
      </w:r>
      <w:r w:rsidRPr="00703396">
        <w:rPr>
          <w:rFonts w:cstheme="minorHAnsi"/>
          <w:sz w:val="24"/>
          <w:szCs w:val="24"/>
          <w:lang w:eastAsia="it-IT"/>
        </w:rPr>
        <w:t xml:space="preserve"> è pari ad euro </w:t>
      </w:r>
      <w:r w:rsidR="005C6783" w:rsidRPr="005C6783">
        <w:rPr>
          <w:rFonts w:cstheme="minorHAnsi"/>
          <w:sz w:val="24"/>
          <w:szCs w:val="24"/>
          <w:lang w:eastAsia="it-IT"/>
        </w:rPr>
        <w:t>49.877</w:t>
      </w:r>
      <w:r w:rsidR="005C6783">
        <w:rPr>
          <w:rFonts w:cstheme="minorHAnsi"/>
          <w:sz w:val="24"/>
          <w:szCs w:val="24"/>
          <w:lang w:eastAsia="it-IT"/>
        </w:rPr>
        <w:t>.</w:t>
      </w:r>
    </w:p>
    <w:p w14:paraId="38007A0A" w14:textId="77777777" w:rsidR="009D32C5" w:rsidRPr="00703396" w:rsidRDefault="009D32C5" w:rsidP="009D32C5">
      <w:pPr>
        <w:spacing w:line="276" w:lineRule="auto"/>
        <w:jc w:val="both"/>
        <w:rPr>
          <w:rFonts w:cstheme="minorHAnsi"/>
          <w:sz w:val="24"/>
          <w:szCs w:val="24"/>
          <w:lang w:eastAsia="it-IT"/>
        </w:rPr>
      </w:pPr>
    </w:p>
    <w:p w14:paraId="0556B0F2" w14:textId="77777777" w:rsidR="009D32C5" w:rsidRPr="00703396" w:rsidRDefault="009D32C5" w:rsidP="009D32C5">
      <w:pPr>
        <w:spacing w:line="276" w:lineRule="auto"/>
        <w:jc w:val="both"/>
        <w:rPr>
          <w:rFonts w:cstheme="minorHAnsi"/>
          <w:i/>
          <w:iCs/>
          <w:sz w:val="24"/>
          <w:szCs w:val="24"/>
          <w:u w:val="single"/>
          <w:lang w:eastAsia="it-IT"/>
        </w:rPr>
      </w:pPr>
      <w:r w:rsidRPr="00703396">
        <w:rPr>
          <w:rFonts w:cstheme="minorHAnsi"/>
          <w:i/>
          <w:iCs/>
          <w:sz w:val="24"/>
          <w:szCs w:val="24"/>
          <w:u w:val="single"/>
          <w:lang w:eastAsia="it-IT"/>
        </w:rPr>
        <w:t>CCN</w:t>
      </w:r>
    </w:p>
    <w:p w14:paraId="69CEE930" w14:textId="77777777"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lang w:eastAsia="it-IT"/>
        </w:rPr>
        <w:t>La quota di compensazione del capitale circolante netto, relativamente al ciclo integrato dei rifiuti, prende in considerazione la differenza tra i ricavi delle vendite e delle prestazioni ed i costi per materie prime e servizi. In considerazione del fatto che il Comune non realizza tale attività, la componente è azzerata.</w:t>
      </w:r>
    </w:p>
    <w:p w14:paraId="41D4B5E5" w14:textId="77777777" w:rsidR="009D32C5" w:rsidRPr="00703396" w:rsidRDefault="009D32C5" w:rsidP="009D32C5">
      <w:pPr>
        <w:spacing w:line="276" w:lineRule="auto"/>
        <w:jc w:val="both"/>
        <w:rPr>
          <w:rFonts w:cstheme="minorHAnsi"/>
          <w:sz w:val="24"/>
          <w:szCs w:val="24"/>
        </w:rPr>
      </w:pPr>
    </w:p>
    <w:p w14:paraId="1852FBC5" w14:textId="77777777" w:rsidR="009D32C5" w:rsidRPr="00703396" w:rsidRDefault="009D32C5" w:rsidP="009D32C5">
      <w:pPr>
        <w:spacing w:line="276" w:lineRule="auto"/>
        <w:jc w:val="both"/>
        <w:rPr>
          <w:rFonts w:cstheme="minorHAnsi"/>
          <w:i/>
          <w:iCs/>
          <w:sz w:val="24"/>
          <w:szCs w:val="24"/>
          <w:u w:val="single"/>
        </w:rPr>
      </w:pPr>
      <w:r w:rsidRPr="00703396">
        <w:rPr>
          <w:rFonts w:cstheme="minorHAnsi"/>
          <w:i/>
          <w:iCs/>
          <w:sz w:val="24"/>
          <w:szCs w:val="24"/>
          <w:u w:val="single"/>
        </w:rPr>
        <w:t>PR</w:t>
      </w:r>
    </w:p>
    <w:p w14:paraId="4291656B" w14:textId="698A9803" w:rsidR="009D32C5" w:rsidRPr="00703396" w:rsidRDefault="009D32C5" w:rsidP="009D32C5">
      <w:pPr>
        <w:spacing w:line="276" w:lineRule="auto"/>
        <w:jc w:val="both"/>
        <w:rPr>
          <w:rFonts w:cstheme="minorHAnsi"/>
          <w:sz w:val="24"/>
          <w:szCs w:val="24"/>
          <w:lang w:eastAsia="it-IT"/>
        </w:rPr>
      </w:pPr>
      <w:r w:rsidRPr="00703396">
        <w:rPr>
          <w:rFonts w:cstheme="minorHAnsi"/>
          <w:sz w:val="24"/>
          <w:szCs w:val="24"/>
        </w:rPr>
        <w:t>Non sono presenti nello stato patrimoniale al 31/12/20</w:t>
      </w:r>
      <w:r w:rsidR="002D69CF" w:rsidRPr="00703396">
        <w:rPr>
          <w:rFonts w:cstheme="minorHAnsi"/>
          <w:sz w:val="24"/>
          <w:szCs w:val="24"/>
        </w:rPr>
        <w:t>20</w:t>
      </w:r>
      <w:r w:rsidRPr="00703396">
        <w:rPr>
          <w:rFonts w:cstheme="minorHAnsi"/>
          <w:sz w:val="24"/>
          <w:szCs w:val="24"/>
        </w:rPr>
        <w:t xml:space="preserve"> poste rettificative di cui c</w:t>
      </w:r>
      <w:r w:rsidRPr="00703396">
        <w:rPr>
          <w:rFonts w:cstheme="minorHAnsi"/>
          <w:sz w:val="24"/>
          <w:szCs w:val="24"/>
          <w:lang w:eastAsia="it-IT"/>
        </w:rPr>
        <w:t xml:space="preserve"> all’art. 1</w:t>
      </w:r>
      <w:r w:rsidR="002D69CF" w:rsidRPr="00703396">
        <w:rPr>
          <w:rFonts w:cstheme="minorHAnsi"/>
          <w:sz w:val="24"/>
          <w:szCs w:val="24"/>
          <w:lang w:eastAsia="it-IT"/>
        </w:rPr>
        <w:t>4</w:t>
      </w:r>
      <w:r w:rsidRPr="00703396">
        <w:rPr>
          <w:rFonts w:cstheme="minorHAnsi"/>
          <w:sz w:val="24"/>
          <w:szCs w:val="24"/>
          <w:lang w:eastAsia="it-IT"/>
        </w:rPr>
        <w:t>.4 Delibera</w:t>
      </w:r>
      <w:r w:rsidR="002D69CF" w:rsidRPr="00703396">
        <w:rPr>
          <w:rFonts w:cstheme="minorHAnsi"/>
          <w:sz w:val="24"/>
          <w:szCs w:val="24"/>
          <w:lang w:eastAsia="it-IT"/>
        </w:rPr>
        <w:t>zione</w:t>
      </w:r>
      <w:r w:rsidRPr="00703396">
        <w:rPr>
          <w:rFonts w:cstheme="minorHAnsi"/>
          <w:sz w:val="24"/>
          <w:szCs w:val="24"/>
          <w:lang w:eastAsia="it-IT"/>
        </w:rPr>
        <w:t xml:space="preserve"> ARERA </w:t>
      </w:r>
      <w:r w:rsidR="002D69CF" w:rsidRPr="00703396">
        <w:rPr>
          <w:rFonts w:cstheme="minorHAnsi"/>
          <w:sz w:val="24"/>
          <w:szCs w:val="24"/>
          <w:lang w:eastAsia="it-IT"/>
        </w:rPr>
        <w:t>363/2021</w:t>
      </w:r>
      <w:r w:rsidR="002D69CF" w:rsidRPr="00703396">
        <w:rPr>
          <w:rFonts w:cstheme="minorHAnsi"/>
          <w:color w:val="000000" w:themeColor="text1"/>
          <w:sz w:val="24"/>
          <w:szCs w:val="24"/>
          <w:lang w:eastAsia="it-IT"/>
        </w:rPr>
        <w:t>/R/Rif</w:t>
      </w:r>
      <w:r w:rsidR="002D69CF" w:rsidRPr="00703396">
        <w:rPr>
          <w:rFonts w:cstheme="minorHAnsi"/>
          <w:sz w:val="24"/>
          <w:szCs w:val="24"/>
          <w:lang w:eastAsia="it-IT"/>
        </w:rPr>
        <w:t>.</w:t>
      </w:r>
    </w:p>
    <w:p w14:paraId="5EECA431" w14:textId="77777777" w:rsidR="009D32C5" w:rsidRPr="00703396" w:rsidRDefault="009D32C5" w:rsidP="009D32C5">
      <w:pPr>
        <w:spacing w:line="276" w:lineRule="auto"/>
        <w:jc w:val="both"/>
        <w:rPr>
          <w:rFonts w:cstheme="minorHAnsi"/>
          <w:sz w:val="24"/>
          <w:szCs w:val="24"/>
        </w:rPr>
      </w:pPr>
    </w:p>
    <w:p w14:paraId="3763E257" w14:textId="77777777" w:rsidR="009D32C5" w:rsidRPr="00703396" w:rsidRDefault="009D32C5" w:rsidP="009D32C5">
      <w:pPr>
        <w:spacing w:line="276" w:lineRule="auto"/>
        <w:jc w:val="both"/>
        <w:rPr>
          <w:rFonts w:cstheme="minorHAnsi"/>
          <w:i/>
          <w:iCs/>
          <w:sz w:val="24"/>
          <w:szCs w:val="24"/>
          <w:u w:val="single"/>
        </w:rPr>
      </w:pPr>
      <w:r w:rsidRPr="00703396">
        <w:rPr>
          <w:rFonts w:cstheme="minorHAnsi"/>
          <w:i/>
          <w:iCs/>
          <w:sz w:val="24"/>
          <w:szCs w:val="24"/>
          <w:u w:val="single"/>
        </w:rPr>
        <w:lastRenderedPageBreak/>
        <w:t>CIN e R</w:t>
      </w:r>
    </w:p>
    <w:p w14:paraId="0DEEE4B9" w14:textId="77777777" w:rsidR="009D32C5" w:rsidRPr="00703396" w:rsidRDefault="009D32C5" w:rsidP="009D32C5">
      <w:pPr>
        <w:spacing w:line="276" w:lineRule="auto"/>
        <w:jc w:val="both"/>
        <w:rPr>
          <w:rFonts w:cstheme="minorHAnsi"/>
          <w:sz w:val="24"/>
          <w:szCs w:val="24"/>
        </w:rPr>
      </w:pPr>
      <w:r w:rsidRPr="00703396">
        <w:rPr>
          <w:rFonts w:cstheme="minorHAnsi"/>
          <w:sz w:val="24"/>
          <w:szCs w:val="24"/>
        </w:rPr>
        <w:t>Il capitale investito netto risulta pertanto costituito dalle sole immobilizzazioni:</w:t>
      </w:r>
    </w:p>
    <w:p w14:paraId="20C93AC4" w14:textId="29102F25" w:rsidR="009D32C5" w:rsidRPr="00FD5D3C" w:rsidRDefault="009D32C5" w:rsidP="009D32C5">
      <w:pPr>
        <w:spacing w:line="276" w:lineRule="auto"/>
        <w:jc w:val="both"/>
        <w:rPr>
          <w:rFonts w:cstheme="minorHAnsi"/>
          <w:sz w:val="24"/>
          <w:szCs w:val="24"/>
        </w:rPr>
      </w:pPr>
      <w:r w:rsidRPr="00FD5D3C">
        <w:rPr>
          <w:rFonts w:cstheme="minorHAnsi"/>
          <w:sz w:val="24"/>
          <w:szCs w:val="24"/>
        </w:rPr>
        <w:t>IMN (</w:t>
      </w:r>
      <w:r w:rsidR="005C6783" w:rsidRPr="00FD5D3C">
        <w:rPr>
          <w:rFonts w:cstheme="minorHAnsi"/>
          <w:sz w:val="24"/>
          <w:szCs w:val="24"/>
        </w:rPr>
        <w:t>49.877</w:t>
      </w:r>
      <w:r w:rsidRPr="00FD5D3C">
        <w:rPr>
          <w:rFonts w:cstheme="minorHAnsi"/>
          <w:sz w:val="24"/>
          <w:szCs w:val="24"/>
        </w:rPr>
        <w:t xml:space="preserve">) + CCN (0) – PR (0) = </w:t>
      </w:r>
      <w:r w:rsidR="005C6783" w:rsidRPr="00FD5D3C">
        <w:rPr>
          <w:rFonts w:cstheme="minorHAnsi"/>
          <w:sz w:val="24"/>
          <w:szCs w:val="24"/>
        </w:rPr>
        <w:t>49.877</w:t>
      </w:r>
    </w:p>
    <w:p w14:paraId="62E03576" w14:textId="77777777" w:rsidR="009D32C5" w:rsidRPr="00703396" w:rsidRDefault="009D32C5" w:rsidP="009D32C5">
      <w:pPr>
        <w:spacing w:line="276" w:lineRule="auto"/>
        <w:jc w:val="both"/>
        <w:rPr>
          <w:rFonts w:cstheme="minorHAnsi"/>
          <w:sz w:val="24"/>
          <w:szCs w:val="24"/>
        </w:rPr>
      </w:pPr>
      <w:r w:rsidRPr="00703396">
        <w:rPr>
          <w:rFonts w:cstheme="minorHAnsi"/>
          <w:sz w:val="24"/>
          <w:szCs w:val="24"/>
        </w:rPr>
        <w:t>La remunerazione del capitale investito netto sarà quindi:</w:t>
      </w:r>
    </w:p>
    <w:p w14:paraId="34547700" w14:textId="55B4FD9C" w:rsidR="009D32C5" w:rsidRPr="00FD5D3C" w:rsidRDefault="009D32C5" w:rsidP="009D32C5">
      <w:pPr>
        <w:spacing w:line="276" w:lineRule="auto"/>
        <w:jc w:val="both"/>
        <w:rPr>
          <w:rFonts w:cstheme="minorHAnsi"/>
          <w:sz w:val="24"/>
          <w:szCs w:val="24"/>
        </w:rPr>
      </w:pPr>
      <w:r w:rsidRPr="00FD5D3C">
        <w:rPr>
          <w:rFonts w:cstheme="minorHAnsi"/>
          <w:sz w:val="24"/>
          <w:szCs w:val="24"/>
        </w:rPr>
        <w:t>[WACC (6,3%) * CIN (</w:t>
      </w:r>
      <w:r w:rsidR="005C6783" w:rsidRPr="00FD5D3C">
        <w:rPr>
          <w:rFonts w:cstheme="minorHAnsi"/>
          <w:sz w:val="24"/>
          <w:szCs w:val="24"/>
        </w:rPr>
        <w:t>49.877</w:t>
      </w:r>
      <w:r w:rsidRPr="00FD5D3C">
        <w:rPr>
          <w:rFonts w:cstheme="minorHAnsi"/>
          <w:sz w:val="24"/>
          <w:szCs w:val="24"/>
        </w:rPr>
        <w:t xml:space="preserve">)] + [1% * IMN </w:t>
      </w:r>
      <w:r w:rsidRPr="00FD5D3C">
        <w:rPr>
          <w:rFonts w:cstheme="minorHAnsi"/>
          <w:sz w:val="24"/>
          <w:szCs w:val="24"/>
          <w:vertAlign w:val="subscript"/>
        </w:rPr>
        <w:t>post 2017</w:t>
      </w:r>
      <w:r w:rsidRPr="00FD5D3C">
        <w:rPr>
          <w:rFonts w:cstheme="minorHAnsi"/>
          <w:sz w:val="24"/>
          <w:szCs w:val="24"/>
        </w:rPr>
        <w:t xml:space="preserve"> (0,00)] = </w:t>
      </w:r>
      <w:r w:rsidR="005C6783" w:rsidRPr="00FD5D3C">
        <w:rPr>
          <w:rFonts w:cstheme="minorHAnsi"/>
          <w:sz w:val="24"/>
          <w:szCs w:val="24"/>
        </w:rPr>
        <w:t>3.256</w:t>
      </w:r>
    </w:p>
    <w:p w14:paraId="2766106C" w14:textId="77777777" w:rsidR="009D32C5" w:rsidRPr="00703396" w:rsidRDefault="009D32C5" w:rsidP="009D32C5">
      <w:pPr>
        <w:spacing w:line="276" w:lineRule="auto"/>
        <w:jc w:val="both"/>
        <w:rPr>
          <w:rFonts w:cstheme="minorHAnsi"/>
          <w:b/>
          <w:bCs/>
          <w:sz w:val="24"/>
          <w:szCs w:val="24"/>
          <w:u w:val="single"/>
          <w:lang w:eastAsia="it-IT"/>
        </w:rPr>
      </w:pPr>
      <w:r w:rsidRPr="00703396">
        <w:rPr>
          <w:rFonts w:cstheme="minorHAnsi"/>
          <w:b/>
          <w:bCs/>
          <w:sz w:val="24"/>
          <w:szCs w:val="24"/>
          <w:u w:val="single"/>
          <w:lang w:eastAsia="it-IT"/>
        </w:rPr>
        <w:t>Remunerazione delle immobilizzazioni in corso</w:t>
      </w:r>
    </w:p>
    <w:p w14:paraId="1190B569" w14:textId="6AEBD279" w:rsidR="009D32C5" w:rsidRPr="00703396" w:rsidRDefault="009D32C5" w:rsidP="009D32C5">
      <w:pPr>
        <w:spacing w:line="276" w:lineRule="auto"/>
        <w:jc w:val="both"/>
        <w:rPr>
          <w:rFonts w:cstheme="minorHAnsi"/>
          <w:sz w:val="24"/>
          <w:szCs w:val="24"/>
        </w:rPr>
      </w:pPr>
      <w:r w:rsidRPr="00703396">
        <w:rPr>
          <w:rFonts w:cstheme="minorHAnsi"/>
          <w:sz w:val="24"/>
          <w:szCs w:val="24"/>
        </w:rPr>
        <w:t>Il Comune non detiene all'interno del proprio patrimonio immobilizzazioni in corso destinate alle attività afferenti al ciclo integrato dei rifiuti.</w:t>
      </w:r>
    </w:p>
    <w:p w14:paraId="778C3D21" w14:textId="77777777" w:rsidR="009D32C5" w:rsidRPr="00703396" w:rsidRDefault="009D32C5" w:rsidP="009D32C5">
      <w:pPr>
        <w:spacing w:line="276" w:lineRule="auto"/>
        <w:jc w:val="both"/>
        <w:rPr>
          <w:rFonts w:cstheme="minorHAnsi"/>
          <w:sz w:val="24"/>
          <w:szCs w:val="24"/>
        </w:rPr>
      </w:pPr>
    </w:p>
    <w:p w14:paraId="5A121FD6" w14:textId="77777777" w:rsidR="009D32C5" w:rsidRPr="00703396" w:rsidRDefault="009D32C5" w:rsidP="009D32C5">
      <w:pPr>
        <w:spacing w:line="276" w:lineRule="auto"/>
        <w:jc w:val="both"/>
        <w:rPr>
          <w:rFonts w:cstheme="minorHAnsi"/>
          <w:b/>
          <w:sz w:val="24"/>
          <w:szCs w:val="24"/>
          <w:u w:val="single"/>
        </w:rPr>
      </w:pPr>
      <w:r w:rsidRPr="00703396">
        <w:rPr>
          <w:rFonts w:cstheme="minorHAnsi"/>
          <w:b/>
          <w:sz w:val="24"/>
          <w:szCs w:val="24"/>
          <w:u w:val="single"/>
        </w:rPr>
        <w:t>COSTI D’USO DEL CAPITALE (CK)</w:t>
      </w:r>
    </w:p>
    <w:p w14:paraId="045C3089" w14:textId="5A436695" w:rsidR="009D32C5" w:rsidRPr="00703396" w:rsidRDefault="009D32C5" w:rsidP="009D32C5">
      <w:pPr>
        <w:spacing w:line="276" w:lineRule="auto"/>
        <w:jc w:val="both"/>
        <w:rPr>
          <w:rFonts w:cstheme="minorHAnsi"/>
          <w:sz w:val="24"/>
          <w:szCs w:val="24"/>
        </w:rPr>
      </w:pPr>
      <w:r w:rsidRPr="00703396">
        <w:rPr>
          <w:rFonts w:cstheme="minorHAnsi"/>
          <w:sz w:val="24"/>
          <w:szCs w:val="24"/>
        </w:rPr>
        <w:t>Il costo d’uso del capitale</w:t>
      </w:r>
      <w:r w:rsidR="002D69CF" w:rsidRPr="00703396">
        <w:rPr>
          <w:rFonts w:cstheme="minorHAnsi"/>
          <w:sz w:val="24"/>
          <w:szCs w:val="24"/>
          <w:lang w:eastAsia="it-IT"/>
        </w:rPr>
        <w:t>, per l'anno 2022,</w:t>
      </w:r>
      <w:r w:rsidRPr="00703396">
        <w:rPr>
          <w:rFonts w:cstheme="minorHAnsi"/>
          <w:sz w:val="24"/>
          <w:szCs w:val="24"/>
        </w:rPr>
        <w:t xml:space="preserve"> è determinato dalla somma delle grandezze sopra riportate:</w:t>
      </w:r>
    </w:p>
    <w:p w14:paraId="5FBE9870" w14:textId="6EDB1AAF" w:rsidR="009D32C5" w:rsidRPr="00703396" w:rsidRDefault="009D32C5" w:rsidP="009D32C5">
      <w:pPr>
        <w:spacing w:line="276" w:lineRule="auto"/>
        <w:jc w:val="both"/>
        <w:rPr>
          <w:rFonts w:cstheme="minorHAnsi"/>
          <w:sz w:val="24"/>
          <w:szCs w:val="24"/>
          <w:lang w:val="en-GB"/>
        </w:rPr>
      </w:pPr>
      <w:r w:rsidRPr="00703396">
        <w:rPr>
          <w:rFonts w:cstheme="minorHAnsi"/>
          <w:sz w:val="24"/>
          <w:szCs w:val="24"/>
          <w:lang w:val="en-GB"/>
        </w:rPr>
        <w:t>AMM (</w:t>
      </w:r>
      <w:r w:rsidR="002632DE" w:rsidRPr="002632DE">
        <w:rPr>
          <w:rFonts w:cstheme="minorHAnsi"/>
          <w:sz w:val="24"/>
          <w:szCs w:val="24"/>
          <w:lang w:val="en-GB"/>
        </w:rPr>
        <w:t>1.387</w:t>
      </w:r>
      <w:r w:rsidRPr="00703396">
        <w:rPr>
          <w:rFonts w:cstheme="minorHAnsi"/>
          <w:sz w:val="24"/>
          <w:szCs w:val="24"/>
          <w:lang w:val="en-GB"/>
        </w:rPr>
        <w:t>) + ACC (</w:t>
      </w:r>
      <w:r w:rsidR="00775E70" w:rsidRPr="00775E70">
        <w:rPr>
          <w:rFonts w:cstheme="minorHAnsi"/>
          <w:sz w:val="24"/>
          <w:szCs w:val="24"/>
          <w:lang w:val="en-GB"/>
        </w:rPr>
        <w:t>36.</w:t>
      </w:r>
      <w:r w:rsidR="00655968">
        <w:rPr>
          <w:rFonts w:cstheme="minorHAnsi"/>
          <w:sz w:val="24"/>
          <w:szCs w:val="24"/>
          <w:lang w:val="en-GB"/>
        </w:rPr>
        <w:t>287</w:t>
      </w:r>
      <w:r w:rsidRPr="00703396">
        <w:rPr>
          <w:rFonts w:cstheme="minorHAnsi"/>
          <w:sz w:val="24"/>
          <w:szCs w:val="24"/>
          <w:lang w:val="en-GB"/>
        </w:rPr>
        <w:t>) + R (</w:t>
      </w:r>
      <w:r w:rsidR="002632DE" w:rsidRPr="002632DE">
        <w:rPr>
          <w:rFonts w:cstheme="minorHAnsi"/>
          <w:sz w:val="24"/>
          <w:szCs w:val="24"/>
          <w:lang w:val="en-GB"/>
        </w:rPr>
        <w:t>3.256</w:t>
      </w:r>
      <w:r w:rsidRPr="00703396">
        <w:rPr>
          <w:rFonts w:cstheme="minorHAnsi"/>
          <w:sz w:val="24"/>
          <w:szCs w:val="24"/>
          <w:lang w:val="en-GB"/>
        </w:rPr>
        <w:t>) + R</w:t>
      </w:r>
      <w:r w:rsidRPr="00703396">
        <w:rPr>
          <w:rFonts w:cstheme="minorHAnsi"/>
          <w:sz w:val="24"/>
          <w:szCs w:val="24"/>
          <w:vertAlign w:val="subscript"/>
          <w:lang w:val="en-GB"/>
        </w:rPr>
        <w:t>LIC</w:t>
      </w:r>
      <w:r w:rsidRPr="00703396">
        <w:rPr>
          <w:rFonts w:cstheme="minorHAnsi"/>
          <w:sz w:val="24"/>
          <w:szCs w:val="24"/>
          <w:lang w:val="en-GB"/>
        </w:rPr>
        <w:t xml:space="preserve"> (0,00) = </w:t>
      </w:r>
      <w:r w:rsidR="002632DE" w:rsidRPr="002632DE">
        <w:rPr>
          <w:rFonts w:cstheme="minorHAnsi"/>
          <w:sz w:val="24"/>
          <w:szCs w:val="24"/>
          <w:lang w:val="en-GB"/>
        </w:rPr>
        <w:t>40.929</w:t>
      </w:r>
    </w:p>
    <w:p w14:paraId="74CCF71A" w14:textId="7A9940F7" w:rsidR="00E717B9" w:rsidRPr="00703396" w:rsidRDefault="00E717B9" w:rsidP="00D521E9">
      <w:pPr>
        <w:rPr>
          <w:rFonts w:cstheme="minorHAnsi"/>
          <w:sz w:val="24"/>
          <w:szCs w:val="24"/>
          <w:lang w:val="en-GB" w:eastAsia="it-IT"/>
        </w:rPr>
      </w:pPr>
    </w:p>
    <w:sectPr w:rsidR="00E717B9" w:rsidRPr="00703396" w:rsidSect="0031567B">
      <w:footerReference w:type="default" r:id="rId13"/>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1D99C" w14:textId="77777777" w:rsidR="009458F9" w:rsidRDefault="009458F9">
      <w:pPr>
        <w:spacing w:after="0" w:line="240" w:lineRule="auto"/>
      </w:pPr>
      <w:r>
        <w:separator/>
      </w:r>
    </w:p>
  </w:endnote>
  <w:endnote w:type="continuationSeparator" w:id="0">
    <w:p w14:paraId="1587AE65" w14:textId="77777777" w:rsidR="009458F9" w:rsidRDefault="00945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 w:name="GlosaW01-HeadlineBold">
    <w:panose1 w:val="02000503000000020004"/>
    <w:charset w:val="00"/>
    <w:family w:val="auto"/>
    <w:pitch w:val="variable"/>
    <w:sig w:usb0="800000AF" w:usb1="0000000A"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3E4" w14:textId="77777777" w:rsidR="0031567B" w:rsidRDefault="003156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9918"/>
      <w:docPartObj>
        <w:docPartGallery w:val="Page Numbers (Bottom of Page)"/>
        <w:docPartUnique/>
      </w:docPartObj>
    </w:sdtPr>
    <w:sdtEndPr/>
    <w:sdtContent>
      <w:p w14:paraId="6A2F24A9" w14:textId="2E7BF911" w:rsidR="0031567B" w:rsidRDefault="0031567B" w:rsidP="00E34914">
        <w:pPr>
          <w:pStyle w:val="Pidipagin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B417B" w14:textId="77777777" w:rsidR="009458F9" w:rsidRDefault="009458F9">
      <w:pPr>
        <w:spacing w:after="0" w:line="240" w:lineRule="auto"/>
      </w:pPr>
      <w:r>
        <w:separator/>
      </w:r>
    </w:p>
  </w:footnote>
  <w:footnote w:type="continuationSeparator" w:id="0">
    <w:p w14:paraId="36A3F2F9" w14:textId="77777777" w:rsidR="009458F9" w:rsidRDefault="009458F9">
      <w:pPr>
        <w:spacing w:after="0" w:line="240" w:lineRule="auto"/>
      </w:pPr>
      <w:r>
        <w:continuationSeparator/>
      </w:r>
    </w:p>
  </w:footnote>
  <w:footnote w:id="1">
    <w:p w14:paraId="46B15E37" w14:textId="650BA976" w:rsidR="00223D0A" w:rsidRDefault="00223D0A" w:rsidP="002D69CF">
      <w:pPr>
        <w:pStyle w:val="Testonotaapidipagina"/>
        <w:jc w:val="both"/>
      </w:pPr>
      <w:r>
        <w:rPr>
          <w:rStyle w:val="Rimandonotaapidipagina"/>
        </w:rPr>
        <w:footnoteRef/>
      </w:r>
      <w:r>
        <w:t xml:space="preserve"> I tassi di inflazione dello 0,1% e 0,2% sono relativi all’anno 2022. Per gli anni successivi è considerato il solo valore dello 0,2%</w:t>
      </w:r>
      <w:r w:rsidR="002D69CF">
        <w:t>.</w:t>
      </w:r>
      <w:r>
        <w:t xml:space="preserve"> </w:t>
      </w:r>
      <w:r w:rsidR="002D69CF">
        <w:t>I</w:t>
      </w:r>
      <w:r w:rsidRPr="00223D0A">
        <w:t xml:space="preserve">n sede di prima approvazione, si assume inflazione nulla, </w:t>
      </w:r>
      <w:r w:rsidR="002D69CF">
        <w:t xml:space="preserve">essendo </w:t>
      </w:r>
      <w:r w:rsidRPr="00223D0A">
        <w:t>rinvia</w:t>
      </w:r>
      <w:r w:rsidR="002D69CF">
        <w:t>ta</w:t>
      </w:r>
      <w:r w:rsidRPr="00223D0A">
        <w:t xml:space="preserve"> la pubblicazione puntuale dei tassi di inflazione in parola ai provvedimenti che verranno adottati da</w:t>
      </w:r>
      <w:r w:rsidR="002D69CF">
        <w:t xml:space="preserve"> ARERA</w:t>
      </w:r>
      <w:r w:rsidRPr="00223D0A">
        <w:t xml:space="preserve"> ai fini dell’aggiornamento delle predisposizioni tariffarie per gli anni 2024 e 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7B5A"/>
    <w:multiLevelType w:val="hybridMultilevel"/>
    <w:tmpl w:val="C0EA5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827527"/>
    <w:multiLevelType w:val="hybridMultilevel"/>
    <w:tmpl w:val="527020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9172DE"/>
    <w:multiLevelType w:val="hybridMultilevel"/>
    <w:tmpl w:val="1424F93C"/>
    <w:lvl w:ilvl="0" w:tplc="B25AA8A4">
      <w:start w:val="101"/>
      <w:numFmt w:val="bullet"/>
      <w:lvlText w:val="•"/>
      <w:lvlJc w:val="left"/>
      <w:pPr>
        <w:ind w:left="720" w:hanging="360"/>
      </w:pPr>
      <w:rPr>
        <w:rFonts w:ascii="Corbel" w:eastAsiaTheme="minorHAnsi" w:hAnsi="Corbe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AE7FB6"/>
    <w:multiLevelType w:val="hybridMultilevel"/>
    <w:tmpl w:val="69242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A94983"/>
    <w:multiLevelType w:val="hybridMultilevel"/>
    <w:tmpl w:val="D686784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7D3625D"/>
    <w:multiLevelType w:val="hybridMultilevel"/>
    <w:tmpl w:val="8DB03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BE5280"/>
    <w:multiLevelType w:val="hybridMultilevel"/>
    <w:tmpl w:val="91B08C66"/>
    <w:lvl w:ilvl="0" w:tplc="703E5404">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7" w15:restartNumberingAfterBreak="0">
    <w:nsid w:val="42A731DA"/>
    <w:multiLevelType w:val="hybridMultilevel"/>
    <w:tmpl w:val="8CC25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7747E8"/>
    <w:multiLevelType w:val="hybridMultilevel"/>
    <w:tmpl w:val="8A9CE6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7054DB"/>
    <w:multiLevelType w:val="hybridMultilevel"/>
    <w:tmpl w:val="41523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BB43775"/>
    <w:multiLevelType w:val="hybridMultilevel"/>
    <w:tmpl w:val="61F44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5186E67"/>
    <w:multiLevelType w:val="hybridMultilevel"/>
    <w:tmpl w:val="8DFC87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AA65E6"/>
    <w:multiLevelType w:val="hybridMultilevel"/>
    <w:tmpl w:val="CAB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F105C83"/>
    <w:multiLevelType w:val="multilevel"/>
    <w:tmpl w:val="E0525F26"/>
    <w:lvl w:ilvl="0">
      <w:start w:val="1"/>
      <w:numFmt w:val="decimal"/>
      <w:lvlText w:val="%1"/>
      <w:lvlJc w:val="left"/>
      <w:pPr>
        <w:ind w:left="400" w:hanging="400"/>
      </w:pPr>
      <w:rPr>
        <w:rFonts w:hint="default"/>
      </w:rPr>
    </w:lvl>
    <w:lvl w:ilvl="1">
      <w:start w:val="1"/>
      <w:numFmt w:val="decimal"/>
      <w:pStyle w:val="Titolo3"/>
      <w:lvlText w:val="%1.%2"/>
      <w:lvlJc w:val="left"/>
      <w:pPr>
        <w:ind w:left="968"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78491593">
    <w:abstractNumId w:val="6"/>
  </w:num>
  <w:num w:numId="2" w16cid:durableId="1989358671">
    <w:abstractNumId w:val="8"/>
  </w:num>
  <w:num w:numId="3" w16cid:durableId="1290277891">
    <w:abstractNumId w:val="0"/>
  </w:num>
  <w:num w:numId="4" w16cid:durableId="1796635915">
    <w:abstractNumId w:val="10"/>
  </w:num>
  <w:num w:numId="5" w16cid:durableId="1411928378">
    <w:abstractNumId w:val="7"/>
  </w:num>
  <w:num w:numId="6" w16cid:durableId="2072729743">
    <w:abstractNumId w:val="5"/>
  </w:num>
  <w:num w:numId="7" w16cid:durableId="1184394434">
    <w:abstractNumId w:val="9"/>
  </w:num>
  <w:num w:numId="8" w16cid:durableId="644166169">
    <w:abstractNumId w:val="4"/>
  </w:num>
  <w:num w:numId="9" w16cid:durableId="581066327">
    <w:abstractNumId w:val="3"/>
  </w:num>
  <w:num w:numId="10" w16cid:durableId="951395841">
    <w:abstractNumId w:val="2"/>
  </w:num>
  <w:num w:numId="11" w16cid:durableId="1882857327">
    <w:abstractNumId w:val="12"/>
  </w:num>
  <w:num w:numId="12" w16cid:durableId="947005214">
    <w:abstractNumId w:val="1"/>
  </w:num>
  <w:num w:numId="13" w16cid:durableId="1153524103">
    <w:abstractNumId w:val="11"/>
  </w:num>
  <w:num w:numId="14" w16cid:durableId="17356149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7B9"/>
    <w:rsid w:val="00004EBD"/>
    <w:rsid w:val="00011D25"/>
    <w:rsid w:val="0003694F"/>
    <w:rsid w:val="00040D2A"/>
    <w:rsid w:val="00062EF8"/>
    <w:rsid w:val="00065AD0"/>
    <w:rsid w:val="00067E64"/>
    <w:rsid w:val="000700EF"/>
    <w:rsid w:val="000749B2"/>
    <w:rsid w:val="00081B4D"/>
    <w:rsid w:val="000977D1"/>
    <w:rsid w:val="000A3D74"/>
    <w:rsid w:val="000C0C94"/>
    <w:rsid w:val="000D1D67"/>
    <w:rsid w:val="000D3B90"/>
    <w:rsid w:val="000D7B28"/>
    <w:rsid w:val="000E12CB"/>
    <w:rsid w:val="000E35AA"/>
    <w:rsid w:val="000F4977"/>
    <w:rsid w:val="00105CAC"/>
    <w:rsid w:val="00113C38"/>
    <w:rsid w:val="00117923"/>
    <w:rsid w:val="00117C6B"/>
    <w:rsid w:val="00126945"/>
    <w:rsid w:val="0013662D"/>
    <w:rsid w:val="00153B3F"/>
    <w:rsid w:val="00163461"/>
    <w:rsid w:val="00182160"/>
    <w:rsid w:val="00193C97"/>
    <w:rsid w:val="0019406C"/>
    <w:rsid w:val="001A224D"/>
    <w:rsid w:val="001B13D2"/>
    <w:rsid w:val="001B71A8"/>
    <w:rsid w:val="001D38AF"/>
    <w:rsid w:val="001E03F9"/>
    <w:rsid w:val="001E2948"/>
    <w:rsid w:val="001E78C0"/>
    <w:rsid w:val="001F1027"/>
    <w:rsid w:val="00202419"/>
    <w:rsid w:val="00211B3E"/>
    <w:rsid w:val="0021292E"/>
    <w:rsid w:val="00223D0A"/>
    <w:rsid w:val="00227B88"/>
    <w:rsid w:val="00231501"/>
    <w:rsid w:val="002414B4"/>
    <w:rsid w:val="002443C6"/>
    <w:rsid w:val="0025590E"/>
    <w:rsid w:val="00256EDC"/>
    <w:rsid w:val="002632DE"/>
    <w:rsid w:val="00264330"/>
    <w:rsid w:val="00265B74"/>
    <w:rsid w:val="002753B2"/>
    <w:rsid w:val="00280EAD"/>
    <w:rsid w:val="002812F3"/>
    <w:rsid w:val="00283E9A"/>
    <w:rsid w:val="00286C45"/>
    <w:rsid w:val="00286E93"/>
    <w:rsid w:val="002871D4"/>
    <w:rsid w:val="00290C9A"/>
    <w:rsid w:val="00291426"/>
    <w:rsid w:val="002943BF"/>
    <w:rsid w:val="00295D44"/>
    <w:rsid w:val="00296521"/>
    <w:rsid w:val="002A10D5"/>
    <w:rsid w:val="002A1441"/>
    <w:rsid w:val="002A7EA3"/>
    <w:rsid w:val="002B1FA3"/>
    <w:rsid w:val="002C1867"/>
    <w:rsid w:val="002C61F9"/>
    <w:rsid w:val="002D0ED3"/>
    <w:rsid w:val="002D69CF"/>
    <w:rsid w:val="002E299E"/>
    <w:rsid w:val="002F0448"/>
    <w:rsid w:val="0031567B"/>
    <w:rsid w:val="003201AC"/>
    <w:rsid w:val="00342AA8"/>
    <w:rsid w:val="00346FD3"/>
    <w:rsid w:val="0035186C"/>
    <w:rsid w:val="00357D8D"/>
    <w:rsid w:val="00360709"/>
    <w:rsid w:val="00361E9D"/>
    <w:rsid w:val="00366A2A"/>
    <w:rsid w:val="00372221"/>
    <w:rsid w:val="00374887"/>
    <w:rsid w:val="00377317"/>
    <w:rsid w:val="003B2BDC"/>
    <w:rsid w:val="003C7183"/>
    <w:rsid w:val="003C7FA1"/>
    <w:rsid w:val="003D488A"/>
    <w:rsid w:val="003F3BAA"/>
    <w:rsid w:val="00407B1F"/>
    <w:rsid w:val="00420F2F"/>
    <w:rsid w:val="00436B8A"/>
    <w:rsid w:val="00450E73"/>
    <w:rsid w:val="00451524"/>
    <w:rsid w:val="0046624E"/>
    <w:rsid w:val="004772D4"/>
    <w:rsid w:val="004963BE"/>
    <w:rsid w:val="004B1549"/>
    <w:rsid w:val="004B21BA"/>
    <w:rsid w:val="004B4DBE"/>
    <w:rsid w:val="004D3B70"/>
    <w:rsid w:val="004D5B4F"/>
    <w:rsid w:val="004D7AAF"/>
    <w:rsid w:val="004E60A6"/>
    <w:rsid w:val="004E7B94"/>
    <w:rsid w:val="004F273C"/>
    <w:rsid w:val="005046E9"/>
    <w:rsid w:val="005111F6"/>
    <w:rsid w:val="00511C1E"/>
    <w:rsid w:val="00517FD4"/>
    <w:rsid w:val="00521C94"/>
    <w:rsid w:val="00523F0B"/>
    <w:rsid w:val="005267D4"/>
    <w:rsid w:val="00527AF7"/>
    <w:rsid w:val="00530A97"/>
    <w:rsid w:val="005353F0"/>
    <w:rsid w:val="00535B40"/>
    <w:rsid w:val="005503E4"/>
    <w:rsid w:val="00560F0E"/>
    <w:rsid w:val="00562710"/>
    <w:rsid w:val="0057278E"/>
    <w:rsid w:val="00572A28"/>
    <w:rsid w:val="00574AF6"/>
    <w:rsid w:val="005755B6"/>
    <w:rsid w:val="00595678"/>
    <w:rsid w:val="005A0F98"/>
    <w:rsid w:val="005B310E"/>
    <w:rsid w:val="005B4D31"/>
    <w:rsid w:val="005C1F95"/>
    <w:rsid w:val="005C6783"/>
    <w:rsid w:val="005C6E52"/>
    <w:rsid w:val="005D4DF6"/>
    <w:rsid w:val="005D6217"/>
    <w:rsid w:val="005D735F"/>
    <w:rsid w:val="005F2136"/>
    <w:rsid w:val="005F363F"/>
    <w:rsid w:val="006008FE"/>
    <w:rsid w:val="006076F4"/>
    <w:rsid w:val="00614D41"/>
    <w:rsid w:val="006209BB"/>
    <w:rsid w:val="00625A03"/>
    <w:rsid w:val="00630323"/>
    <w:rsid w:val="006442D9"/>
    <w:rsid w:val="00653429"/>
    <w:rsid w:val="00655968"/>
    <w:rsid w:val="00663FB4"/>
    <w:rsid w:val="00684E4A"/>
    <w:rsid w:val="00694BA0"/>
    <w:rsid w:val="006A775F"/>
    <w:rsid w:val="006B2F82"/>
    <w:rsid w:val="006B4124"/>
    <w:rsid w:val="006B5290"/>
    <w:rsid w:val="006D6647"/>
    <w:rsid w:val="006D74C2"/>
    <w:rsid w:val="006E2E15"/>
    <w:rsid w:val="006E5ECD"/>
    <w:rsid w:val="006E7753"/>
    <w:rsid w:val="006F386B"/>
    <w:rsid w:val="006F7F1F"/>
    <w:rsid w:val="00703396"/>
    <w:rsid w:val="00705749"/>
    <w:rsid w:val="00706F4B"/>
    <w:rsid w:val="0070757D"/>
    <w:rsid w:val="00722BA8"/>
    <w:rsid w:val="00726355"/>
    <w:rsid w:val="00736FFE"/>
    <w:rsid w:val="00737BD6"/>
    <w:rsid w:val="007668A4"/>
    <w:rsid w:val="00775E70"/>
    <w:rsid w:val="00791201"/>
    <w:rsid w:val="007A024B"/>
    <w:rsid w:val="007B632C"/>
    <w:rsid w:val="007C0881"/>
    <w:rsid w:val="007C532E"/>
    <w:rsid w:val="007D288A"/>
    <w:rsid w:val="007E0163"/>
    <w:rsid w:val="007E21F3"/>
    <w:rsid w:val="007E35A4"/>
    <w:rsid w:val="007E49CF"/>
    <w:rsid w:val="007E589F"/>
    <w:rsid w:val="008020B3"/>
    <w:rsid w:val="00804551"/>
    <w:rsid w:val="00814233"/>
    <w:rsid w:val="008213A0"/>
    <w:rsid w:val="00824EAF"/>
    <w:rsid w:val="00833E0F"/>
    <w:rsid w:val="00845310"/>
    <w:rsid w:val="008635FA"/>
    <w:rsid w:val="00864102"/>
    <w:rsid w:val="00866D58"/>
    <w:rsid w:val="00875F47"/>
    <w:rsid w:val="00881F13"/>
    <w:rsid w:val="00887186"/>
    <w:rsid w:val="00897933"/>
    <w:rsid w:val="008A7CF1"/>
    <w:rsid w:val="008B39FF"/>
    <w:rsid w:val="008C001E"/>
    <w:rsid w:val="008E0B88"/>
    <w:rsid w:val="008E0F8F"/>
    <w:rsid w:val="008E62D7"/>
    <w:rsid w:val="008F0F5C"/>
    <w:rsid w:val="008F57E2"/>
    <w:rsid w:val="009267EC"/>
    <w:rsid w:val="00941872"/>
    <w:rsid w:val="00944F4B"/>
    <w:rsid w:val="009458F9"/>
    <w:rsid w:val="009757D7"/>
    <w:rsid w:val="009765DD"/>
    <w:rsid w:val="00976F51"/>
    <w:rsid w:val="009840B8"/>
    <w:rsid w:val="009946D0"/>
    <w:rsid w:val="0099641C"/>
    <w:rsid w:val="009C2150"/>
    <w:rsid w:val="009D2D14"/>
    <w:rsid w:val="009D32C5"/>
    <w:rsid w:val="009D4437"/>
    <w:rsid w:val="009D76CB"/>
    <w:rsid w:val="009E0A69"/>
    <w:rsid w:val="009E2C35"/>
    <w:rsid w:val="009E33DB"/>
    <w:rsid w:val="009E4E63"/>
    <w:rsid w:val="009E5330"/>
    <w:rsid w:val="009F00CA"/>
    <w:rsid w:val="009F0FFB"/>
    <w:rsid w:val="00A0074F"/>
    <w:rsid w:val="00A02C4C"/>
    <w:rsid w:val="00A05D05"/>
    <w:rsid w:val="00A140EA"/>
    <w:rsid w:val="00A141F5"/>
    <w:rsid w:val="00A14600"/>
    <w:rsid w:val="00A15FD0"/>
    <w:rsid w:val="00A2497F"/>
    <w:rsid w:val="00A32F9D"/>
    <w:rsid w:val="00A477AD"/>
    <w:rsid w:val="00A5320A"/>
    <w:rsid w:val="00A5694C"/>
    <w:rsid w:val="00A70439"/>
    <w:rsid w:val="00A751F7"/>
    <w:rsid w:val="00A96286"/>
    <w:rsid w:val="00AA1E02"/>
    <w:rsid w:val="00AA20E6"/>
    <w:rsid w:val="00AC24B4"/>
    <w:rsid w:val="00AC6690"/>
    <w:rsid w:val="00AD400D"/>
    <w:rsid w:val="00B06017"/>
    <w:rsid w:val="00B101B1"/>
    <w:rsid w:val="00B15A0A"/>
    <w:rsid w:val="00B225FE"/>
    <w:rsid w:val="00B31767"/>
    <w:rsid w:val="00B322CC"/>
    <w:rsid w:val="00B35B62"/>
    <w:rsid w:val="00B41044"/>
    <w:rsid w:val="00B461AA"/>
    <w:rsid w:val="00B53485"/>
    <w:rsid w:val="00B56AF4"/>
    <w:rsid w:val="00B672DC"/>
    <w:rsid w:val="00B949D5"/>
    <w:rsid w:val="00B97C6A"/>
    <w:rsid w:val="00BA41D3"/>
    <w:rsid w:val="00BA792B"/>
    <w:rsid w:val="00BB15BC"/>
    <w:rsid w:val="00BD318D"/>
    <w:rsid w:val="00BD7487"/>
    <w:rsid w:val="00BE09F2"/>
    <w:rsid w:val="00BF0C57"/>
    <w:rsid w:val="00BF1188"/>
    <w:rsid w:val="00BF4E05"/>
    <w:rsid w:val="00C21A3C"/>
    <w:rsid w:val="00C23A17"/>
    <w:rsid w:val="00C2545C"/>
    <w:rsid w:val="00C26294"/>
    <w:rsid w:val="00C37559"/>
    <w:rsid w:val="00C63A29"/>
    <w:rsid w:val="00C669E5"/>
    <w:rsid w:val="00C67B20"/>
    <w:rsid w:val="00C72F4A"/>
    <w:rsid w:val="00C732F4"/>
    <w:rsid w:val="00C77BF1"/>
    <w:rsid w:val="00C9178B"/>
    <w:rsid w:val="00C93F3A"/>
    <w:rsid w:val="00C97F45"/>
    <w:rsid w:val="00CB2C10"/>
    <w:rsid w:val="00CC3825"/>
    <w:rsid w:val="00CD675F"/>
    <w:rsid w:val="00CE13B2"/>
    <w:rsid w:val="00CE2757"/>
    <w:rsid w:val="00CE6D2D"/>
    <w:rsid w:val="00CE74D3"/>
    <w:rsid w:val="00CF4EA4"/>
    <w:rsid w:val="00D015DE"/>
    <w:rsid w:val="00D0512E"/>
    <w:rsid w:val="00D116F2"/>
    <w:rsid w:val="00D16209"/>
    <w:rsid w:val="00D223DC"/>
    <w:rsid w:val="00D3392B"/>
    <w:rsid w:val="00D40D92"/>
    <w:rsid w:val="00D521E9"/>
    <w:rsid w:val="00D539BF"/>
    <w:rsid w:val="00D61F9F"/>
    <w:rsid w:val="00D634C1"/>
    <w:rsid w:val="00D6514C"/>
    <w:rsid w:val="00D7509C"/>
    <w:rsid w:val="00D77312"/>
    <w:rsid w:val="00D8072E"/>
    <w:rsid w:val="00D8491B"/>
    <w:rsid w:val="00D9228F"/>
    <w:rsid w:val="00DA43DF"/>
    <w:rsid w:val="00DB1493"/>
    <w:rsid w:val="00DB3715"/>
    <w:rsid w:val="00DD3D93"/>
    <w:rsid w:val="00E00253"/>
    <w:rsid w:val="00E30BC2"/>
    <w:rsid w:val="00E34914"/>
    <w:rsid w:val="00E40D8D"/>
    <w:rsid w:val="00E42D0D"/>
    <w:rsid w:val="00E432DC"/>
    <w:rsid w:val="00E4350C"/>
    <w:rsid w:val="00E564F0"/>
    <w:rsid w:val="00E57872"/>
    <w:rsid w:val="00E61240"/>
    <w:rsid w:val="00E62848"/>
    <w:rsid w:val="00E717B9"/>
    <w:rsid w:val="00E739F3"/>
    <w:rsid w:val="00E750F3"/>
    <w:rsid w:val="00E84E10"/>
    <w:rsid w:val="00E875ED"/>
    <w:rsid w:val="00E97A14"/>
    <w:rsid w:val="00EA1841"/>
    <w:rsid w:val="00EA25A3"/>
    <w:rsid w:val="00EA2AB2"/>
    <w:rsid w:val="00EA7266"/>
    <w:rsid w:val="00EC60BD"/>
    <w:rsid w:val="00ED4BDF"/>
    <w:rsid w:val="00EF782C"/>
    <w:rsid w:val="00F028DF"/>
    <w:rsid w:val="00F100A3"/>
    <w:rsid w:val="00F25B8C"/>
    <w:rsid w:val="00F2682C"/>
    <w:rsid w:val="00F3169D"/>
    <w:rsid w:val="00F55391"/>
    <w:rsid w:val="00F66BB7"/>
    <w:rsid w:val="00F75CAE"/>
    <w:rsid w:val="00F80D3D"/>
    <w:rsid w:val="00F80ED7"/>
    <w:rsid w:val="00F81259"/>
    <w:rsid w:val="00F820D3"/>
    <w:rsid w:val="00F8558A"/>
    <w:rsid w:val="00F953BC"/>
    <w:rsid w:val="00FB0910"/>
    <w:rsid w:val="00FD5D3C"/>
    <w:rsid w:val="00FD7D90"/>
    <w:rsid w:val="00FF0CD8"/>
    <w:rsid w:val="00FF6A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66D1"/>
  <w15:chartTrackingRefBased/>
  <w15:docId w15:val="{E014D451-1B88-4525-8BEA-91C0EDF4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17B9"/>
  </w:style>
  <w:style w:type="paragraph" w:styleId="Titolo1">
    <w:name w:val="heading 1"/>
    <w:basedOn w:val="Titolo2"/>
    <w:next w:val="Normale"/>
    <w:link w:val="Titolo1Carattere"/>
    <w:uiPriority w:val="9"/>
    <w:qFormat/>
    <w:rsid w:val="00BF1188"/>
    <w:pPr>
      <w:outlineLvl w:val="0"/>
    </w:pPr>
    <w:rPr>
      <w:sz w:val="36"/>
    </w:rPr>
  </w:style>
  <w:style w:type="paragraph" w:styleId="Titolo2">
    <w:name w:val="heading 2"/>
    <w:basedOn w:val="Normale"/>
    <w:next w:val="Normale"/>
    <w:link w:val="Titolo2Carattere"/>
    <w:uiPriority w:val="9"/>
    <w:unhideWhenUsed/>
    <w:qFormat/>
    <w:rsid w:val="00BF1188"/>
    <w:pPr>
      <w:keepNext/>
      <w:keepLines/>
      <w:spacing w:before="40" w:after="240"/>
      <w:outlineLvl w:val="1"/>
    </w:pPr>
    <w:rPr>
      <w:rFonts w:ascii="Lato" w:eastAsiaTheme="majorEastAsia" w:hAnsi="Lato" w:cstheme="majorBidi"/>
      <w:b/>
      <w:bCs/>
      <w:color w:val="000000" w:themeColor="text1"/>
      <w:sz w:val="28"/>
      <w:szCs w:val="28"/>
      <w:lang w:eastAsia="it-IT"/>
    </w:rPr>
  </w:style>
  <w:style w:type="paragraph" w:styleId="Titolo3">
    <w:name w:val="heading 3"/>
    <w:basedOn w:val="Sottotitolo"/>
    <w:next w:val="Normale"/>
    <w:link w:val="Titolo3Carattere"/>
    <w:uiPriority w:val="9"/>
    <w:unhideWhenUsed/>
    <w:qFormat/>
    <w:rsid w:val="00BF1188"/>
    <w:pPr>
      <w:numPr>
        <w:numId w:val="14"/>
      </w:numPr>
      <w:spacing w:after="240" w:line="240" w:lineRule="auto"/>
      <w:outlineLvl w:val="2"/>
    </w:pPr>
    <w:rPr>
      <w:rFonts w:ascii="Lato" w:hAnsi="Lato"/>
      <w:b/>
      <w:bCs/>
      <w:color w:val="000000" w:themeColor="text1"/>
      <w:sz w:val="24"/>
      <w:szCs w:val="24"/>
      <w:lang w:eastAsia="it-IT"/>
    </w:rPr>
  </w:style>
  <w:style w:type="paragraph" w:styleId="Titolo4">
    <w:name w:val="heading 4"/>
    <w:basedOn w:val="Normale"/>
    <w:next w:val="Normale"/>
    <w:link w:val="Titolo4Carattere"/>
    <w:uiPriority w:val="9"/>
    <w:unhideWhenUsed/>
    <w:qFormat/>
    <w:rsid w:val="00C77BF1"/>
    <w:pPr>
      <w:keepNext/>
      <w:keepLines/>
      <w:spacing w:before="40" w:after="240"/>
      <w:outlineLvl w:val="3"/>
    </w:pPr>
    <w:rPr>
      <w:rFonts w:ascii="GlosaW01-HeadlineBold" w:eastAsiaTheme="majorEastAsia" w:hAnsi="GlosaW01-HeadlineBold" w:cstheme="majorBidi"/>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F1188"/>
    <w:rPr>
      <w:rFonts w:ascii="Lato" w:eastAsiaTheme="majorEastAsia" w:hAnsi="Lato" w:cstheme="majorBidi"/>
      <w:b/>
      <w:bCs/>
      <w:color w:val="000000" w:themeColor="text1"/>
      <w:sz w:val="28"/>
      <w:szCs w:val="28"/>
      <w:lang w:eastAsia="it-IT"/>
    </w:rPr>
  </w:style>
  <w:style w:type="character" w:customStyle="1" w:styleId="Titolo3Carattere">
    <w:name w:val="Titolo 3 Carattere"/>
    <w:basedOn w:val="Carpredefinitoparagrafo"/>
    <w:link w:val="Titolo3"/>
    <w:uiPriority w:val="9"/>
    <w:rsid w:val="00BF1188"/>
    <w:rPr>
      <w:rFonts w:ascii="Lato" w:eastAsiaTheme="minorEastAsia" w:hAnsi="Lato"/>
      <w:b/>
      <w:bCs/>
      <w:color w:val="000000" w:themeColor="text1"/>
      <w:spacing w:val="15"/>
      <w:sz w:val="24"/>
      <w:szCs w:val="24"/>
      <w:lang w:eastAsia="it-IT"/>
    </w:rPr>
  </w:style>
  <w:style w:type="paragraph" w:styleId="Pidipagina">
    <w:name w:val="footer"/>
    <w:basedOn w:val="Normale"/>
    <w:link w:val="PidipaginaCarattere"/>
    <w:uiPriority w:val="99"/>
    <w:unhideWhenUsed/>
    <w:rsid w:val="00E717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7B9"/>
  </w:style>
  <w:style w:type="paragraph" w:styleId="Paragrafoelenco">
    <w:name w:val="List Paragraph"/>
    <w:basedOn w:val="Normale"/>
    <w:uiPriority w:val="34"/>
    <w:qFormat/>
    <w:rsid w:val="00E717B9"/>
    <w:pPr>
      <w:ind w:left="720"/>
      <w:contextualSpacing/>
    </w:pPr>
  </w:style>
  <w:style w:type="character" w:customStyle="1" w:styleId="Titolo1Carattere">
    <w:name w:val="Titolo 1 Carattere"/>
    <w:basedOn w:val="Carpredefinitoparagrafo"/>
    <w:link w:val="Titolo1"/>
    <w:uiPriority w:val="9"/>
    <w:rsid w:val="00BF1188"/>
    <w:rPr>
      <w:rFonts w:ascii="Lato" w:eastAsiaTheme="majorEastAsia" w:hAnsi="Lato" w:cstheme="majorBidi"/>
      <w:b/>
      <w:bCs/>
      <w:color w:val="000000" w:themeColor="text1"/>
      <w:sz w:val="36"/>
      <w:szCs w:val="28"/>
      <w:lang w:eastAsia="it-IT"/>
    </w:rPr>
  </w:style>
  <w:style w:type="paragraph" w:styleId="Titolosommario">
    <w:name w:val="TOC Heading"/>
    <w:basedOn w:val="Titolo1"/>
    <w:next w:val="Normale"/>
    <w:uiPriority w:val="39"/>
    <w:unhideWhenUsed/>
    <w:qFormat/>
    <w:rsid w:val="00E717B9"/>
    <w:pPr>
      <w:outlineLvl w:val="9"/>
    </w:pPr>
    <w:rPr>
      <w:rFonts w:ascii="Felix Titling" w:hAnsi="Felix Titling"/>
    </w:rPr>
  </w:style>
  <w:style w:type="paragraph" w:styleId="Sottotitolo">
    <w:name w:val="Subtitle"/>
    <w:basedOn w:val="Normale"/>
    <w:next w:val="Normale"/>
    <w:link w:val="SottotitoloCarattere"/>
    <w:uiPriority w:val="11"/>
    <w:qFormat/>
    <w:rsid w:val="00E717B9"/>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E717B9"/>
    <w:rPr>
      <w:rFonts w:eastAsiaTheme="minorEastAsia"/>
      <w:color w:val="5A5A5A" w:themeColor="text1" w:themeTint="A5"/>
      <w:spacing w:val="15"/>
    </w:rPr>
  </w:style>
  <w:style w:type="paragraph" w:styleId="Sommario2">
    <w:name w:val="toc 2"/>
    <w:basedOn w:val="Normale"/>
    <w:next w:val="Normale"/>
    <w:autoRedefine/>
    <w:uiPriority w:val="39"/>
    <w:unhideWhenUsed/>
    <w:rsid w:val="00E717B9"/>
    <w:pPr>
      <w:tabs>
        <w:tab w:val="left" w:pos="660"/>
        <w:tab w:val="right" w:leader="dot" w:pos="9628"/>
      </w:tabs>
      <w:spacing w:after="100"/>
      <w:ind w:left="220"/>
    </w:pPr>
    <w:rPr>
      <w:noProof/>
    </w:rPr>
  </w:style>
  <w:style w:type="paragraph" w:styleId="Sommario3">
    <w:name w:val="toc 3"/>
    <w:basedOn w:val="Normale"/>
    <w:next w:val="Normale"/>
    <w:autoRedefine/>
    <w:uiPriority w:val="39"/>
    <w:unhideWhenUsed/>
    <w:rsid w:val="00E717B9"/>
    <w:pPr>
      <w:spacing w:after="100"/>
      <w:ind w:left="440"/>
    </w:pPr>
  </w:style>
  <w:style w:type="character" w:styleId="Collegamentoipertestuale">
    <w:name w:val="Hyperlink"/>
    <w:basedOn w:val="Carpredefinitoparagrafo"/>
    <w:uiPriority w:val="99"/>
    <w:unhideWhenUsed/>
    <w:rsid w:val="00E717B9"/>
    <w:rPr>
      <w:color w:val="0563C1" w:themeColor="hyperlink"/>
      <w:u w:val="single"/>
    </w:rPr>
  </w:style>
  <w:style w:type="character" w:customStyle="1" w:styleId="Titolo4Carattere">
    <w:name w:val="Titolo 4 Carattere"/>
    <w:basedOn w:val="Carpredefinitoparagrafo"/>
    <w:link w:val="Titolo4"/>
    <w:uiPriority w:val="9"/>
    <w:rsid w:val="00C77BF1"/>
    <w:rPr>
      <w:rFonts w:ascii="GlosaW01-HeadlineBold" w:eastAsiaTheme="majorEastAsia" w:hAnsi="GlosaW01-HeadlineBold" w:cstheme="majorBidi"/>
      <w:u w:val="single"/>
    </w:rPr>
  </w:style>
  <w:style w:type="paragraph" w:styleId="Testofumetto">
    <w:name w:val="Balloon Text"/>
    <w:basedOn w:val="Normale"/>
    <w:link w:val="TestofumettoCarattere"/>
    <w:uiPriority w:val="99"/>
    <w:semiHidden/>
    <w:unhideWhenUsed/>
    <w:rsid w:val="008F57E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57E2"/>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86410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64102"/>
    <w:rPr>
      <w:sz w:val="20"/>
      <w:szCs w:val="20"/>
    </w:rPr>
  </w:style>
  <w:style w:type="character" w:styleId="Rimandonotaapidipagina">
    <w:name w:val="footnote reference"/>
    <w:basedOn w:val="Carpredefinitoparagrafo"/>
    <w:uiPriority w:val="99"/>
    <w:semiHidden/>
    <w:unhideWhenUsed/>
    <w:rsid w:val="00864102"/>
    <w:rPr>
      <w:vertAlign w:val="superscript"/>
    </w:rPr>
  </w:style>
  <w:style w:type="paragraph" w:styleId="Intestazione">
    <w:name w:val="header"/>
    <w:basedOn w:val="Normale"/>
    <w:link w:val="IntestazioneCarattere"/>
    <w:uiPriority w:val="99"/>
    <w:unhideWhenUsed/>
    <w:rsid w:val="00E349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4914"/>
  </w:style>
  <w:style w:type="table" w:styleId="Grigliatabella">
    <w:name w:val="Table Grid"/>
    <w:basedOn w:val="Tabellanormale"/>
    <w:uiPriority w:val="39"/>
    <w:rsid w:val="00E43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B322C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6333">
      <w:bodyDiv w:val="1"/>
      <w:marLeft w:val="0"/>
      <w:marRight w:val="0"/>
      <w:marTop w:val="0"/>
      <w:marBottom w:val="0"/>
      <w:divBdr>
        <w:top w:val="none" w:sz="0" w:space="0" w:color="auto"/>
        <w:left w:val="none" w:sz="0" w:space="0" w:color="auto"/>
        <w:bottom w:val="none" w:sz="0" w:space="0" w:color="auto"/>
        <w:right w:val="none" w:sz="0" w:space="0" w:color="auto"/>
      </w:divBdr>
    </w:div>
    <w:div w:id="236746180">
      <w:bodyDiv w:val="1"/>
      <w:marLeft w:val="0"/>
      <w:marRight w:val="0"/>
      <w:marTop w:val="0"/>
      <w:marBottom w:val="0"/>
      <w:divBdr>
        <w:top w:val="none" w:sz="0" w:space="0" w:color="auto"/>
        <w:left w:val="none" w:sz="0" w:space="0" w:color="auto"/>
        <w:bottom w:val="none" w:sz="0" w:space="0" w:color="auto"/>
        <w:right w:val="none" w:sz="0" w:space="0" w:color="auto"/>
      </w:divBdr>
    </w:div>
    <w:div w:id="334576468">
      <w:bodyDiv w:val="1"/>
      <w:marLeft w:val="0"/>
      <w:marRight w:val="0"/>
      <w:marTop w:val="0"/>
      <w:marBottom w:val="0"/>
      <w:divBdr>
        <w:top w:val="none" w:sz="0" w:space="0" w:color="auto"/>
        <w:left w:val="none" w:sz="0" w:space="0" w:color="auto"/>
        <w:bottom w:val="none" w:sz="0" w:space="0" w:color="auto"/>
        <w:right w:val="none" w:sz="0" w:space="0" w:color="auto"/>
      </w:divBdr>
    </w:div>
    <w:div w:id="630522710">
      <w:bodyDiv w:val="1"/>
      <w:marLeft w:val="0"/>
      <w:marRight w:val="0"/>
      <w:marTop w:val="0"/>
      <w:marBottom w:val="0"/>
      <w:divBdr>
        <w:top w:val="none" w:sz="0" w:space="0" w:color="auto"/>
        <w:left w:val="none" w:sz="0" w:space="0" w:color="auto"/>
        <w:bottom w:val="none" w:sz="0" w:space="0" w:color="auto"/>
        <w:right w:val="none" w:sz="0" w:space="0" w:color="auto"/>
      </w:divBdr>
    </w:div>
    <w:div w:id="769549494">
      <w:bodyDiv w:val="1"/>
      <w:marLeft w:val="0"/>
      <w:marRight w:val="0"/>
      <w:marTop w:val="0"/>
      <w:marBottom w:val="0"/>
      <w:divBdr>
        <w:top w:val="none" w:sz="0" w:space="0" w:color="auto"/>
        <w:left w:val="none" w:sz="0" w:space="0" w:color="auto"/>
        <w:bottom w:val="none" w:sz="0" w:space="0" w:color="auto"/>
        <w:right w:val="none" w:sz="0" w:space="0" w:color="auto"/>
      </w:divBdr>
    </w:div>
    <w:div w:id="1130132896">
      <w:bodyDiv w:val="1"/>
      <w:marLeft w:val="0"/>
      <w:marRight w:val="0"/>
      <w:marTop w:val="0"/>
      <w:marBottom w:val="0"/>
      <w:divBdr>
        <w:top w:val="none" w:sz="0" w:space="0" w:color="auto"/>
        <w:left w:val="none" w:sz="0" w:space="0" w:color="auto"/>
        <w:bottom w:val="none" w:sz="0" w:space="0" w:color="auto"/>
        <w:right w:val="none" w:sz="0" w:space="0" w:color="auto"/>
      </w:divBdr>
    </w:div>
    <w:div w:id="1669362485">
      <w:bodyDiv w:val="1"/>
      <w:marLeft w:val="0"/>
      <w:marRight w:val="0"/>
      <w:marTop w:val="0"/>
      <w:marBottom w:val="0"/>
      <w:divBdr>
        <w:top w:val="none" w:sz="0" w:space="0" w:color="auto"/>
        <w:left w:val="none" w:sz="0" w:space="0" w:color="auto"/>
        <w:bottom w:val="none" w:sz="0" w:space="0" w:color="auto"/>
        <w:right w:val="none" w:sz="0" w:space="0" w:color="auto"/>
      </w:divBdr>
    </w:div>
    <w:div w:id="174348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5CC07-4E67-4ED4-9685-89313688D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TotalTime>
  <Pages>15</Pages>
  <Words>4145</Words>
  <Characters>23629</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NeoPA Srl</cp:lastModifiedBy>
  <cp:revision>63</cp:revision>
  <dcterms:created xsi:type="dcterms:W3CDTF">2021-11-09T10:02:00Z</dcterms:created>
  <dcterms:modified xsi:type="dcterms:W3CDTF">2022-04-26T09:47:00Z</dcterms:modified>
</cp:coreProperties>
</file>