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(allegato n. 2, Deliberazione Arera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1CC3E7F7"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D8493D">
        <w:rPr>
          <w:rFonts w:ascii="Garamond" w:hAnsi="Garamond"/>
          <w:b/>
          <w:sz w:val="26"/>
          <w:szCs w:val="26"/>
        </w:rPr>
        <w:t>GROTTAZZOLINA</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47EBD4A3"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AC4221">
          <w:rPr>
            <w:webHidden/>
          </w:rPr>
          <w:t>3</w:t>
        </w:r>
        <w:r w:rsidR="00E913DD">
          <w:rPr>
            <w:webHidden/>
          </w:rPr>
          <w:fldChar w:fldCharType="end"/>
        </w:r>
      </w:hyperlink>
    </w:p>
    <w:p w14:paraId="2CB67F52" w14:textId="22B7B864" w:rsidR="00E913DD" w:rsidRDefault="00AD60A4">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AC4221">
          <w:rPr>
            <w:noProof/>
            <w:webHidden/>
          </w:rPr>
          <w:t>3</w:t>
        </w:r>
        <w:r w:rsidR="00E913DD">
          <w:rPr>
            <w:noProof/>
            <w:webHidden/>
          </w:rPr>
          <w:fldChar w:fldCharType="end"/>
        </w:r>
      </w:hyperlink>
    </w:p>
    <w:p w14:paraId="703F2522" w14:textId="4A5AE427" w:rsidR="00E913DD" w:rsidRDefault="00AD60A4">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AC4221">
          <w:rPr>
            <w:noProof/>
            <w:webHidden/>
          </w:rPr>
          <w:t>3</w:t>
        </w:r>
        <w:r w:rsidR="00E913DD">
          <w:rPr>
            <w:noProof/>
            <w:webHidden/>
          </w:rPr>
          <w:fldChar w:fldCharType="end"/>
        </w:r>
      </w:hyperlink>
    </w:p>
    <w:p w14:paraId="418079F8" w14:textId="2FA87C10" w:rsidR="00E913DD" w:rsidRDefault="00AD60A4">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AC4221">
          <w:rPr>
            <w:noProof/>
            <w:webHidden/>
          </w:rPr>
          <w:t>3</w:t>
        </w:r>
        <w:r w:rsidR="00E913DD">
          <w:rPr>
            <w:noProof/>
            <w:webHidden/>
          </w:rPr>
          <w:fldChar w:fldCharType="end"/>
        </w:r>
      </w:hyperlink>
    </w:p>
    <w:p w14:paraId="78D3F93B" w14:textId="48F4C524" w:rsidR="00E913DD" w:rsidRDefault="00AD60A4">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AC4221">
          <w:rPr>
            <w:noProof/>
            <w:webHidden/>
          </w:rPr>
          <w:t>3</w:t>
        </w:r>
        <w:r w:rsidR="00E913DD">
          <w:rPr>
            <w:noProof/>
            <w:webHidden/>
          </w:rPr>
          <w:fldChar w:fldCharType="end"/>
        </w:r>
      </w:hyperlink>
    </w:p>
    <w:p w14:paraId="770D39FA" w14:textId="2CF68914" w:rsidR="00E913DD" w:rsidRDefault="00AD60A4">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AC4221">
          <w:rPr>
            <w:webHidden/>
          </w:rPr>
          <w:t>4</w:t>
        </w:r>
        <w:r w:rsidR="00E913DD">
          <w:rPr>
            <w:webHidden/>
          </w:rPr>
          <w:fldChar w:fldCharType="end"/>
        </w:r>
      </w:hyperlink>
    </w:p>
    <w:p w14:paraId="51761B3D" w14:textId="2F869DE7" w:rsidR="00E913DD" w:rsidRDefault="00AD60A4">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AC4221">
          <w:rPr>
            <w:noProof/>
            <w:webHidden/>
          </w:rPr>
          <w:t>4</w:t>
        </w:r>
        <w:r w:rsidR="00E913DD">
          <w:rPr>
            <w:noProof/>
            <w:webHidden/>
          </w:rPr>
          <w:fldChar w:fldCharType="end"/>
        </w:r>
      </w:hyperlink>
    </w:p>
    <w:p w14:paraId="3AFFD0E5" w14:textId="0DCABC4A" w:rsidR="00E913DD" w:rsidRDefault="00AD60A4">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AC4221">
          <w:rPr>
            <w:webHidden/>
          </w:rPr>
          <w:t>4</w:t>
        </w:r>
        <w:r w:rsidR="00E913DD">
          <w:rPr>
            <w:webHidden/>
          </w:rPr>
          <w:fldChar w:fldCharType="end"/>
        </w:r>
      </w:hyperlink>
    </w:p>
    <w:p w14:paraId="02FDC3F3" w14:textId="4CD3038B" w:rsidR="00E913DD" w:rsidRDefault="00AD60A4">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AC4221">
          <w:rPr>
            <w:noProof/>
            <w:webHidden/>
          </w:rPr>
          <w:t>4</w:t>
        </w:r>
        <w:r w:rsidR="00E913DD">
          <w:rPr>
            <w:noProof/>
            <w:webHidden/>
          </w:rPr>
          <w:fldChar w:fldCharType="end"/>
        </w:r>
      </w:hyperlink>
    </w:p>
    <w:p w14:paraId="5C530430" w14:textId="61B47474" w:rsidR="00E913DD" w:rsidRDefault="00AD60A4">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AC4221">
          <w:rPr>
            <w:noProof/>
            <w:webHidden/>
          </w:rPr>
          <w:t>4</w:t>
        </w:r>
        <w:r w:rsidR="00E913DD">
          <w:rPr>
            <w:noProof/>
            <w:webHidden/>
          </w:rPr>
          <w:fldChar w:fldCharType="end"/>
        </w:r>
      </w:hyperlink>
    </w:p>
    <w:p w14:paraId="77D48725" w14:textId="6FC00837" w:rsidR="00E913DD" w:rsidRDefault="00AD60A4">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AC4221">
          <w:rPr>
            <w:noProof/>
            <w:webHidden/>
          </w:rPr>
          <w:t>4</w:t>
        </w:r>
        <w:r w:rsidR="00E913DD">
          <w:rPr>
            <w:noProof/>
            <w:webHidden/>
          </w:rPr>
          <w:fldChar w:fldCharType="end"/>
        </w:r>
      </w:hyperlink>
    </w:p>
    <w:p w14:paraId="2F5181E4" w14:textId="20FC1AB4" w:rsidR="00E913DD" w:rsidRDefault="00AD60A4">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AC4221">
          <w:rPr>
            <w:noProof/>
            <w:webHidden/>
          </w:rPr>
          <w:t>4</w:t>
        </w:r>
        <w:r w:rsidR="00E913DD">
          <w:rPr>
            <w:noProof/>
            <w:webHidden/>
          </w:rPr>
          <w:fldChar w:fldCharType="end"/>
        </w:r>
      </w:hyperlink>
    </w:p>
    <w:p w14:paraId="64F0CD96" w14:textId="23A32A79" w:rsidR="00E913DD" w:rsidRDefault="00AD60A4">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AC4221">
          <w:rPr>
            <w:noProof/>
            <w:webHidden/>
          </w:rPr>
          <w:t>4</w:t>
        </w:r>
        <w:r w:rsidR="00E913DD">
          <w:rPr>
            <w:noProof/>
            <w:webHidden/>
          </w:rPr>
          <w:fldChar w:fldCharType="end"/>
        </w:r>
      </w:hyperlink>
    </w:p>
    <w:p w14:paraId="050BD175" w14:textId="39649DD1" w:rsidR="00E913DD" w:rsidRDefault="00AD60A4">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AC4221">
          <w:rPr>
            <w:noProof/>
            <w:webHidden/>
          </w:rPr>
          <w:t>4</w:t>
        </w:r>
        <w:r w:rsidR="00E913DD">
          <w:rPr>
            <w:noProof/>
            <w:webHidden/>
          </w:rPr>
          <w:fldChar w:fldCharType="end"/>
        </w:r>
      </w:hyperlink>
    </w:p>
    <w:p w14:paraId="316F2070" w14:textId="343598A1" w:rsidR="00E913DD" w:rsidRDefault="00AD60A4">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AC4221">
          <w:rPr>
            <w:noProof/>
            <w:webHidden/>
          </w:rPr>
          <w:t>5</w:t>
        </w:r>
        <w:r w:rsidR="00E913DD">
          <w:rPr>
            <w:noProof/>
            <w:webHidden/>
          </w:rPr>
          <w:fldChar w:fldCharType="end"/>
        </w:r>
      </w:hyperlink>
    </w:p>
    <w:p w14:paraId="0F3C459A" w14:textId="4856C113" w:rsidR="00E913DD" w:rsidRDefault="00AD60A4">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AC4221">
          <w:rPr>
            <w:noProof/>
            <w:webHidden/>
          </w:rPr>
          <w:t>5</w:t>
        </w:r>
        <w:r w:rsidR="00E913DD">
          <w:rPr>
            <w:noProof/>
            <w:webHidden/>
          </w:rPr>
          <w:fldChar w:fldCharType="end"/>
        </w:r>
      </w:hyperlink>
    </w:p>
    <w:p w14:paraId="1646E16A" w14:textId="0F83F741" w:rsidR="00E913DD" w:rsidRDefault="00AD60A4">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AC4221">
          <w:rPr>
            <w:noProof/>
            <w:webHidden/>
          </w:rPr>
          <w:t>5</w:t>
        </w:r>
        <w:r w:rsidR="00E913DD">
          <w:rPr>
            <w:noProof/>
            <w:webHidden/>
          </w:rPr>
          <w:fldChar w:fldCharType="end"/>
        </w:r>
      </w:hyperlink>
    </w:p>
    <w:p w14:paraId="38426963" w14:textId="167DC1E6" w:rsidR="00E913DD" w:rsidRDefault="00AD60A4">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AC4221">
          <w:rPr>
            <w:noProof/>
            <w:webHidden/>
          </w:rPr>
          <w:t>5</w:t>
        </w:r>
        <w:r w:rsidR="00E913DD">
          <w:rPr>
            <w:noProof/>
            <w:webHidden/>
          </w:rPr>
          <w:fldChar w:fldCharType="end"/>
        </w:r>
      </w:hyperlink>
    </w:p>
    <w:p w14:paraId="66D1D88C" w14:textId="66128208" w:rsidR="00E913DD" w:rsidRDefault="00AD60A4">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AC4221">
          <w:rPr>
            <w:webHidden/>
          </w:rPr>
          <w:t>5</w:t>
        </w:r>
        <w:r w:rsidR="00E913DD">
          <w:rPr>
            <w:webHidden/>
          </w:rPr>
          <w:fldChar w:fldCharType="end"/>
        </w:r>
      </w:hyperlink>
    </w:p>
    <w:p w14:paraId="1B6D6E0B" w14:textId="58419280" w:rsidR="00E913DD" w:rsidRDefault="00AD60A4">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AC4221">
          <w:rPr>
            <w:webHidden/>
          </w:rPr>
          <w:t>6</w:t>
        </w:r>
        <w:r w:rsidR="00E913DD">
          <w:rPr>
            <w:webHidden/>
          </w:rPr>
          <w:fldChar w:fldCharType="end"/>
        </w:r>
      </w:hyperlink>
    </w:p>
    <w:p w14:paraId="50236726" w14:textId="6FB69A69" w:rsidR="00E913DD" w:rsidRDefault="00AD60A4">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AC4221">
          <w:rPr>
            <w:noProof/>
            <w:webHidden/>
          </w:rPr>
          <w:t>6</w:t>
        </w:r>
        <w:r w:rsidR="00E913DD">
          <w:rPr>
            <w:noProof/>
            <w:webHidden/>
          </w:rPr>
          <w:fldChar w:fldCharType="end"/>
        </w:r>
      </w:hyperlink>
    </w:p>
    <w:p w14:paraId="7938FDC2" w14:textId="628ACDC0" w:rsidR="00E913DD" w:rsidRDefault="00AD60A4">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AC4221">
          <w:rPr>
            <w:noProof/>
            <w:webHidden/>
          </w:rPr>
          <w:t>6</w:t>
        </w:r>
        <w:r w:rsidR="00E913DD">
          <w:rPr>
            <w:noProof/>
            <w:webHidden/>
          </w:rPr>
          <w:fldChar w:fldCharType="end"/>
        </w:r>
      </w:hyperlink>
    </w:p>
    <w:p w14:paraId="1A6BFD54" w14:textId="5A1E6208" w:rsidR="00E913DD" w:rsidRDefault="00AD60A4">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AC4221">
          <w:rPr>
            <w:noProof/>
            <w:webHidden/>
          </w:rPr>
          <w:t>8</w:t>
        </w:r>
        <w:r w:rsidR="00E913DD">
          <w:rPr>
            <w:noProof/>
            <w:webHidden/>
          </w:rPr>
          <w:fldChar w:fldCharType="end"/>
        </w:r>
      </w:hyperlink>
    </w:p>
    <w:p w14:paraId="3BE2511D" w14:textId="7533CD32" w:rsidR="00E913DD" w:rsidRDefault="00AD60A4">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AC4221">
          <w:rPr>
            <w:noProof/>
            <w:webHidden/>
          </w:rPr>
          <w:t>11</w:t>
        </w:r>
        <w:r w:rsidR="00E913DD">
          <w:rPr>
            <w:noProof/>
            <w:webHidden/>
          </w:rPr>
          <w:fldChar w:fldCharType="end"/>
        </w:r>
      </w:hyperlink>
    </w:p>
    <w:p w14:paraId="744E97F4" w14:textId="15F34516" w:rsidR="00E913DD" w:rsidRDefault="00AD60A4">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AC4221">
          <w:rPr>
            <w:noProof/>
            <w:webHidden/>
          </w:rPr>
          <w:t>11</w:t>
        </w:r>
        <w:r w:rsidR="00E913DD">
          <w:rPr>
            <w:noProof/>
            <w:webHidden/>
          </w:rPr>
          <w:fldChar w:fldCharType="end"/>
        </w:r>
      </w:hyperlink>
    </w:p>
    <w:p w14:paraId="0628645B" w14:textId="47D68E70" w:rsidR="00E913DD" w:rsidRDefault="00AD60A4">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AC4221">
          <w:rPr>
            <w:noProof/>
            <w:webHidden/>
          </w:rPr>
          <w:t>11</w:t>
        </w:r>
        <w:r w:rsidR="00E913DD">
          <w:rPr>
            <w:noProof/>
            <w:webHidden/>
          </w:rPr>
          <w:fldChar w:fldCharType="end"/>
        </w:r>
      </w:hyperlink>
    </w:p>
    <w:p w14:paraId="569E9C26" w14:textId="1E8EE58A" w:rsidR="00E913DD" w:rsidRDefault="00AD60A4">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AC4221">
          <w:rPr>
            <w:noProof/>
            <w:webHidden/>
          </w:rPr>
          <w:t>11</w:t>
        </w:r>
        <w:r w:rsidR="00E913DD">
          <w:rPr>
            <w:noProof/>
            <w:webHidden/>
          </w:rPr>
          <w:fldChar w:fldCharType="end"/>
        </w:r>
      </w:hyperlink>
    </w:p>
    <w:p w14:paraId="1DD93446" w14:textId="3D4DC2D5" w:rsidR="00E913DD" w:rsidRDefault="00AD60A4">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AC4221">
          <w:rPr>
            <w:noProof/>
            <w:webHidden/>
          </w:rPr>
          <w:t>12</w:t>
        </w:r>
        <w:r w:rsidR="00E913DD">
          <w:rPr>
            <w:noProof/>
            <w:webHidden/>
          </w:rPr>
          <w:fldChar w:fldCharType="end"/>
        </w:r>
      </w:hyperlink>
    </w:p>
    <w:p w14:paraId="30B72C6F" w14:textId="0A0EA515" w:rsidR="00E913DD" w:rsidRDefault="00AD60A4">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AC4221">
          <w:rPr>
            <w:noProof/>
            <w:webHidden/>
          </w:rPr>
          <w:t>12</w:t>
        </w:r>
        <w:r w:rsidR="00E913DD">
          <w:rPr>
            <w:noProof/>
            <w:webHidden/>
          </w:rPr>
          <w:fldChar w:fldCharType="end"/>
        </w:r>
      </w:hyperlink>
    </w:p>
    <w:p w14:paraId="7E307157" w14:textId="085F6FCB" w:rsidR="00E913DD" w:rsidRDefault="00AD60A4">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AC4221">
          <w:rPr>
            <w:noProof/>
            <w:webHidden/>
          </w:rPr>
          <w:t>15</w:t>
        </w:r>
        <w:r w:rsidR="00E913DD">
          <w:rPr>
            <w:noProof/>
            <w:webHidden/>
          </w:rPr>
          <w:fldChar w:fldCharType="end"/>
        </w:r>
      </w:hyperlink>
    </w:p>
    <w:p w14:paraId="237920B3" w14:textId="732F029E" w:rsidR="00E913DD" w:rsidRDefault="00AD60A4">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AC4221">
          <w:rPr>
            <w:noProof/>
            <w:webHidden/>
          </w:rPr>
          <w:t>15</w:t>
        </w:r>
        <w:r w:rsidR="00E913DD">
          <w:rPr>
            <w:noProof/>
            <w:webHidden/>
          </w:rPr>
          <w:fldChar w:fldCharType="end"/>
        </w:r>
      </w:hyperlink>
    </w:p>
    <w:p w14:paraId="78E843DF" w14:textId="2892439A" w:rsidR="00E913DD" w:rsidRDefault="00AD60A4">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AC4221">
          <w:rPr>
            <w:noProof/>
            <w:webHidden/>
          </w:rPr>
          <w:t>15</w:t>
        </w:r>
        <w:r w:rsidR="00E913DD">
          <w:rPr>
            <w:noProof/>
            <w:webHidden/>
          </w:rPr>
          <w:fldChar w:fldCharType="end"/>
        </w:r>
      </w:hyperlink>
    </w:p>
    <w:p w14:paraId="0180C1D8" w14:textId="62291ED8" w:rsidR="00E913DD" w:rsidRDefault="00AD60A4">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AC4221">
          <w:rPr>
            <w:noProof/>
            <w:webHidden/>
          </w:rPr>
          <w:t>16</w:t>
        </w:r>
        <w:r w:rsidR="00E913DD">
          <w:rPr>
            <w:noProof/>
            <w:webHidden/>
          </w:rPr>
          <w:fldChar w:fldCharType="end"/>
        </w:r>
      </w:hyperlink>
    </w:p>
    <w:p w14:paraId="43992A73" w14:textId="569B4EBA" w:rsidR="00E913DD" w:rsidRDefault="00AD60A4">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AC4221">
          <w:rPr>
            <w:noProof/>
            <w:webHidden/>
          </w:rPr>
          <w:t>16</w:t>
        </w:r>
        <w:r w:rsidR="00E913DD">
          <w:rPr>
            <w:noProof/>
            <w:webHidden/>
          </w:rPr>
          <w:fldChar w:fldCharType="end"/>
        </w:r>
      </w:hyperlink>
    </w:p>
    <w:p w14:paraId="65FE5358" w14:textId="4C79E455" w:rsidR="00E913DD" w:rsidRDefault="00AD60A4">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AC4221">
          <w:rPr>
            <w:noProof/>
            <w:webHidden/>
          </w:rPr>
          <w:t>16</w:t>
        </w:r>
        <w:r w:rsidR="00E913DD">
          <w:rPr>
            <w:noProof/>
            <w:webHidden/>
          </w:rPr>
          <w:fldChar w:fldCharType="end"/>
        </w:r>
      </w:hyperlink>
    </w:p>
    <w:p w14:paraId="68D04CE7" w14:textId="4EB9AF5E" w:rsidR="00E913DD" w:rsidRDefault="00AD60A4">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AC4221">
          <w:rPr>
            <w:noProof/>
            <w:webHidden/>
          </w:rPr>
          <w:t>16</w:t>
        </w:r>
        <w:r w:rsidR="00E913DD">
          <w:rPr>
            <w:noProof/>
            <w:webHidden/>
          </w:rPr>
          <w:fldChar w:fldCharType="end"/>
        </w:r>
      </w:hyperlink>
    </w:p>
    <w:p w14:paraId="1A233660" w14:textId="410221A4" w:rsidR="00E913DD" w:rsidRDefault="00AD60A4">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AC4221">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6E1C97C0"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D8493D">
        <w:rPr>
          <w:rFonts w:ascii="Garamond" w:hAnsi="Garamond"/>
          <w:lang w:eastAsia="en-GB"/>
        </w:rPr>
        <w:t>GROTTAZZOLINA</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7B4E5CF7"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D8493D">
        <w:rPr>
          <w:rFonts w:ascii="Garamond" w:hAnsi="Garamond"/>
          <w:sz w:val="24"/>
          <w:szCs w:val="24"/>
          <w:lang w:eastAsia="en-GB"/>
        </w:rPr>
        <w:t>ECOINNOVA SRL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della Determinazione Arera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63C356D2"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D8493D">
        <w:rPr>
          <w:rFonts w:ascii="Garamond" w:hAnsi="Garamond"/>
          <w:lang w:eastAsia="en-GB"/>
        </w:rPr>
        <w:t>GROTTAZZOLINA</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384E4058"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D8493D">
        <w:rPr>
          <w:rFonts w:ascii="Garamond" w:hAnsi="Garamond"/>
          <w:lang w:eastAsia="en-GB"/>
        </w:rPr>
        <w:t>ECOINNOVA SRL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D8493D">
        <w:rPr>
          <w:rFonts w:ascii="Garamond" w:hAnsi="Garamond"/>
          <w:lang w:eastAsia="en-GB"/>
        </w:rPr>
        <w:t>GROTTAZZOLINA</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09AA92C4"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D8493D">
        <w:rPr>
          <w:rFonts w:ascii="Garamond" w:hAnsi="Garamond"/>
          <w:lang w:eastAsia="en-GB"/>
        </w:rPr>
        <w:t>GROTTAZZOLINA</w:t>
      </w:r>
      <w:r>
        <w:rPr>
          <w:rFonts w:ascii="Garamond" w:hAnsi="Garamond"/>
          <w:lang w:eastAsia="en-GB"/>
        </w:rPr>
        <w:t xml:space="preserve"> e il soggetto gestore </w:t>
      </w:r>
      <w:r w:rsidR="00D8493D">
        <w:rPr>
          <w:rFonts w:ascii="Garamond" w:hAnsi="Garamond"/>
          <w:lang w:eastAsia="en-GB"/>
        </w:rPr>
        <w:t>ECOINNOVA SRL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Pef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Arera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2AD4F0C1"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D8493D">
        <w:rPr>
          <w:rFonts w:ascii="Garamond" w:hAnsi="Garamond"/>
        </w:rPr>
        <w:t>ECOINNOVA SRL</w:t>
      </w:r>
      <w:r>
        <w:rPr>
          <w:rFonts w:ascii="Garamond" w:hAnsi="Garamond"/>
        </w:rPr>
        <w:t>,</w:t>
      </w:r>
      <w:r w:rsidR="00BD1D27">
        <w:rPr>
          <w:rFonts w:ascii="Garamond" w:hAnsi="Garamond"/>
        </w:rPr>
        <w:t xml:space="preserve"> e dal Comune di </w:t>
      </w:r>
      <w:r w:rsidR="00D8493D">
        <w:rPr>
          <w:rFonts w:ascii="Garamond" w:hAnsi="Garamond"/>
        </w:rPr>
        <w:t>GROTTAZZOLINA</w:t>
      </w:r>
      <w:r w:rsidR="00BD1D27">
        <w:rPr>
          <w:rFonts w:ascii="Garamond" w:hAnsi="Garamond"/>
        </w:rPr>
        <w:t xml:space="preserve">. </w:t>
      </w:r>
    </w:p>
    <w:p w14:paraId="458A98BD" w14:textId="124FEB13"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soc. </w:t>
      </w:r>
      <w:r w:rsidR="00D8493D">
        <w:rPr>
          <w:rFonts w:ascii="Garamond" w:hAnsi="Garamond" w:cs="Arial"/>
          <w:bCs/>
          <w:kern w:val="32"/>
        </w:rPr>
        <w:t>ECOINNOVA SRL</w:t>
      </w:r>
      <w:r>
        <w:rPr>
          <w:rFonts w:ascii="Garamond" w:hAnsi="Garamond" w:cs="Arial"/>
          <w:bCs/>
          <w:kern w:val="32"/>
        </w:rPr>
        <w:t>, si rinvia al contenuto della Relazione di accompagnamento.</w:t>
      </w:r>
    </w:p>
    <w:p w14:paraId="71126F70" w14:textId="774C7E7F"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D8493D">
        <w:rPr>
          <w:rFonts w:ascii="Garamond" w:hAnsi="Garamond" w:cs="Arial"/>
          <w:bCs/>
          <w:kern w:val="32"/>
        </w:rPr>
        <w:t>GROTTAZZOLINA</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550366F2"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sidR="00557CC4">
        <w:rPr>
          <w:rFonts w:ascii="Garamond" w:hAnsi="Garamond" w:cs="Arial"/>
          <w:bCs/>
          <w:kern w:val="32"/>
        </w:rPr>
        <w:t xml:space="preserve">non </w:t>
      </w:r>
      <w:r>
        <w:rPr>
          <w:rFonts w:ascii="Garamond" w:hAnsi="Garamond" w:cs="Arial"/>
          <w:bCs/>
          <w:kern w:val="32"/>
        </w:rPr>
        <w:t>è prevista la valorizzazione della componente QL per i costi previsti per l’adeguamento agli standard qualitativi previsti dal “</w:t>
      </w:r>
      <w:r w:rsidRPr="005A07B8">
        <w:rPr>
          <w:rFonts w:ascii="Garamond" w:hAnsi="Garamond" w:cs="Arial"/>
          <w:bCs/>
          <w:i/>
          <w:iCs/>
          <w:kern w:val="32"/>
        </w:rPr>
        <w:t>Tqrif</w:t>
      </w:r>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5C1E9B7E"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D8493D">
        <w:rPr>
          <w:rFonts w:ascii="Garamond" w:hAnsi="Garamond"/>
          <w:lang w:eastAsia="en-GB"/>
        </w:rPr>
        <w:t>GROTTAZZOLINA</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del Pef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lastRenderedPageBreak/>
        <w:t>Focus sugli altri ricavi</w:t>
      </w:r>
      <w:bookmarkEnd w:id="16"/>
    </w:p>
    <w:p w14:paraId="35BC7234" w14:textId="7745DD32"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D8493D">
        <w:rPr>
          <w:rFonts w:ascii="Garamond" w:hAnsi="Garamond"/>
        </w:rPr>
        <w:t>ECOINNOVA SRL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1A132996"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D8493D">
        <w:rPr>
          <w:rFonts w:ascii="Garamond" w:hAnsi="Garamond"/>
        </w:rPr>
        <w:t>ECOINNOVA SRL</w:t>
      </w:r>
      <w:r>
        <w:rPr>
          <w:rFonts w:ascii="Garamond" w:hAnsi="Garamond"/>
        </w:rPr>
        <w:t xml:space="preserve"> per la parte di propria competenza.</w:t>
      </w:r>
    </w:p>
    <w:p w14:paraId="66655735" w14:textId="3F9E7B48"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D8493D">
        <w:rPr>
          <w:rFonts w:ascii="Garamond" w:hAnsi="Garamond"/>
        </w:rPr>
        <w:t>GROTTAZZOLINA</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del Pef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Arera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r w:rsidRPr="005D06F7">
        <w:rPr>
          <w:rFonts w:ascii="Garamond" w:hAnsi="Garamond"/>
        </w:rPr>
        <w:t xml:space="preserve">Arera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2D8F39F1"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pre-consuntivo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D8493D">
        <w:rPr>
          <w:rFonts w:ascii="Garamond" w:hAnsi="Garamond"/>
        </w:rPr>
        <w:t>GROTTAZZOLINA</w:t>
      </w:r>
      <w:r>
        <w:rPr>
          <w:rFonts w:ascii="Garamond" w:hAnsi="Garamond"/>
        </w:rPr>
        <w:t>, sono stati inflazionati secondo quanto previsto dal Mtr-2</w:t>
      </w:r>
      <w:r w:rsidRPr="005D06F7">
        <w:rPr>
          <w:rFonts w:ascii="Garamond" w:hAnsi="Garamond"/>
        </w:rPr>
        <w:t>.</w:t>
      </w:r>
    </w:p>
    <w:p w14:paraId="49762795" w14:textId="677888ED" w:rsidR="00DB2094" w:rsidRDefault="00DB2094" w:rsidP="00DB2094">
      <w:pPr>
        <w:rPr>
          <w:rFonts w:ascii="Garamond" w:hAnsi="Garamond"/>
        </w:rPr>
      </w:pPr>
      <w:r w:rsidRPr="005D06F7">
        <w:rPr>
          <w:rFonts w:ascii="Garamond" w:hAnsi="Garamond"/>
        </w:rPr>
        <w:t xml:space="preserve">Per quanto concerne il gestore </w:t>
      </w:r>
      <w:r w:rsidR="00D8493D">
        <w:rPr>
          <w:rFonts w:ascii="Garamond" w:hAnsi="Garamond"/>
        </w:rPr>
        <w:t>ECOINNOVA SRL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agli allegati 3 e 4, della Determinazione Arera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Pef</w:t>
      </w:r>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lastRenderedPageBreak/>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72161F1F" w:rsidR="00DB2094" w:rsidRDefault="00057F6B" w:rsidP="00DB2094">
      <w:pPr>
        <w:rPr>
          <w:rFonts w:ascii="Garamond" w:hAnsi="Garamond"/>
        </w:rPr>
      </w:pPr>
      <w:r w:rsidRPr="00057F6B">
        <w:rPr>
          <w:noProof/>
        </w:rPr>
        <w:drawing>
          <wp:inline distT="0" distB="0" distL="0" distR="0" wp14:anchorId="5718D5DC" wp14:editId="7EE82754">
            <wp:extent cx="6120130" cy="83629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295"/>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4B2B1153" w:rsidR="00DB2094" w:rsidRDefault="00057F6B" w:rsidP="00DB2094">
      <w:pPr>
        <w:rPr>
          <w:lang w:eastAsia="en-GB"/>
        </w:rPr>
      </w:pPr>
      <w:r w:rsidRPr="00057F6B">
        <w:rPr>
          <w:noProof/>
        </w:rPr>
        <w:drawing>
          <wp:inline distT="0" distB="0" distL="0" distR="0" wp14:anchorId="77727059" wp14:editId="244DBF18">
            <wp:extent cx="6120130" cy="341503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5030"/>
                    </a:xfrm>
                    <a:prstGeom prst="rect">
                      <a:avLst/>
                    </a:prstGeom>
                    <a:noFill/>
                    <a:ln>
                      <a:noFill/>
                    </a:ln>
                  </pic:spPr>
                </pic:pic>
              </a:graphicData>
            </a:graphic>
          </wp:inline>
        </w:drawing>
      </w:r>
    </w:p>
    <w:p w14:paraId="283CE979" w14:textId="33D63745" w:rsidR="00DB2094" w:rsidRDefault="00057F6B" w:rsidP="00DB2094">
      <w:pPr>
        <w:rPr>
          <w:rFonts w:ascii="Garamond" w:hAnsi="Garamond"/>
        </w:rPr>
      </w:pPr>
      <w:r w:rsidRPr="00057F6B">
        <w:rPr>
          <w:noProof/>
        </w:rPr>
        <w:lastRenderedPageBreak/>
        <w:drawing>
          <wp:inline distT="0" distB="0" distL="0" distR="0" wp14:anchorId="622840E9" wp14:editId="00501C04">
            <wp:extent cx="6120130" cy="3273425"/>
            <wp:effectExtent l="0" t="0" r="0" b="317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43D59D59" w14:textId="2910C18E" w:rsidR="00DB2094" w:rsidRDefault="00DB2094" w:rsidP="00DB2094">
      <w:pPr>
        <w:rPr>
          <w:rFonts w:ascii="Garamond" w:hAnsi="Garamond"/>
        </w:rPr>
      </w:pPr>
    </w:p>
    <w:p w14:paraId="750249BA" w14:textId="48F094CA" w:rsidR="00DB2094" w:rsidRDefault="00B94730" w:rsidP="00DB2094">
      <w:pPr>
        <w:rPr>
          <w:rFonts w:ascii="Garamond" w:hAnsi="Garamond"/>
        </w:rPr>
      </w:pPr>
      <w:r w:rsidRPr="00B94730">
        <w:rPr>
          <w:noProof/>
        </w:rPr>
        <w:drawing>
          <wp:inline distT="0" distB="0" distL="0" distR="0" wp14:anchorId="74CCE914" wp14:editId="4D137CC7">
            <wp:extent cx="6120130" cy="3273425"/>
            <wp:effectExtent l="0" t="0" r="0"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73D36213" w14:textId="77777777" w:rsidR="00DB2094" w:rsidRDefault="00DB2094" w:rsidP="00DB2094">
      <w:pPr>
        <w:rPr>
          <w:rFonts w:ascii="Garamond" w:hAnsi="Garamond"/>
        </w:rPr>
      </w:pPr>
    </w:p>
    <w:p w14:paraId="0F665656" w14:textId="605AF129" w:rsidR="00DB2094" w:rsidRDefault="00B94730" w:rsidP="00DB2094">
      <w:pPr>
        <w:rPr>
          <w:rFonts w:ascii="Garamond" w:hAnsi="Garamond"/>
        </w:rPr>
      </w:pPr>
      <w:r w:rsidRPr="00B94730">
        <w:rPr>
          <w:noProof/>
        </w:rPr>
        <w:lastRenderedPageBreak/>
        <w:drawing>
          <wp:inline distT="0" distB="0" distL="0" distR="0" wp14:anchorId="4FB4A7A3" wp14:editId="0400C298">
            <wp:extent cx="6120130" cy="3273425"/>
            <wp:effectExtent l="0" t="0" r="0" b="317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640AD637" w14:textId="293865DB" w:rsidR="00DB2094" w:rsidRDefault="00DB2094" w:rsidP="00DB2094">
      <w:pPr>
        <w:rPr>
          <w:rFonts w:ascii="Garamond" w:hAnsi="Garamond"/>
        </w:rPr>
      </w:pPr>
    </w:p>
    <w:p w14:paraId="0EC8E5EF" w14:textId="77777777" w:rsidR="00DB2094" w:rsidRDefault="00DB2094" w:rsidP="00DB2094">
      <w:pPr>
        <w:rPr>
          <w:rFonts w:ascii="Garamond" w:hAnsi="Garamond"/>
        </w:rPr>
      </w:pPr>
    </w:p>
    <w:p w14:paraId="7631673F" w14:textId="73A83EB9" w:rsidR="00DB2094" w:rsidRDefault="00DB2094" w:rsidP="00DB2094">
      <w:pPr>
        <w:rPr>
          <w:rFonts w:ascii="Garamond" w:hAnsi="Garamond"/>
        </w:rPr>
      </w:pPr>
    </w:p>
    <w:p w14:paraId="64A73D8D" w14:textId="77777777" w:rsidR="00DB2094" w:rsidRDefault="00DB2094" w:rsidP="00DB2094">
      <w:pPr>
        <w:rPr>
          <w:rFonts w:ascii="Garamond" w:hAnsi="Garamond"/>
        </w:rPr>
      </w:pPr>
    </w:p>
    <w:p w14:paraId="7EF1312C"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4638969E" w:rsidR="00DB2094" w:rsidRPr="00FF640F" w:rsidRDefault="00E6177D" w:rsidP="00DB2094">
      <w:pPr>
        <w:rPr>
          <w:rFonts w:ascii="Garamond" w:hAnsi="Garamond"/>
        </w:rPr>
      </w:pPr>
      <w:r>
        <w:rPr>
          <w:rFonts w:ascii="Garamond" w:hAnsi="Garamond"/>
        </w:rPr>
        <w:t xml:space="preserve">Il Comune di </w:t>
      </w:r>
      <w:r w:rsidR="00D8493D">
        <w:rPr>
          <w:rFonts w:ascii="Garamond" w:hAnsi="Garamond"/>
        </w:rPr>
        <w:t>GROTTAZZOLINA</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predetto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09B0652E" w14:textId="77777777" w:rsidR="00B94730" w:rsidRPr="00FF640F" w:rsidRDefault="00B94730" w:rsidP="00DB2094">
      <w:pPr>
        <w:rPr>
          <w:rFonts w:ascii="Garamond" w:hAnsi="Garamond"/>
          <w:lang w:eastAsia="en-GB"/>
        </w:rPr>
      </w:pPr>
    </w:p>
    <w:p w14:paraId="24EB5248" w14:textId="43018882" w:rsidR="00DB2094" w:rsidRPr="00FF640F" w:rsidRDefault="00B94730" w:rsidP="00DB2094">
      <w:pPr>
        <w:rPr>
          <w:lang w:eastAsia="en-GB"/>
        </w:rPr>
      </w:pPr>
      <w:r w:rsidRPr="00B94730">
        <w:rPr>
          <w:noProof/>
        </w:rPr>
        <w:drawing>
          <wp:inline distT="0" distB="0" distL="0" distR="0" wp14:anchorId="2568FF63" wp14:editId="21BDDDA3">
            <wp:extent cx="6120130" cy="469328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693285"/>
                    </a:xfrm>
                    <a:prstGeom prst="rect">
                      <a:avLst/>
                    </a:prstGeom>
                    <a:noFill/>
                    <a:ln>
                      <a:noFill/>
                    </a:ln>
                  </pic:spPr>
                </pic:pic>
              </a:graphicData>
            </a:graphic>
          </wp:inline>
        </w:drawing>
      </w:r>
    </w:p>
    <w:p w14:paraId="72C06A3F" w14:textId="2C36021C" w:rsidR="00DB2094" w:rsidRDefault="00DB2094" w:rsidP="00DB2094">
      <w:pPr>
        <w:rPr>
          <w:rFonts w:ascii="Garamond" w:hAnsi="Garamond"/>
        </w:rPr>
      </w:pPr>
    </w:p>
    <w:p w14:paraId="5AB8E7C6" w14:textId="77777777" w:rsidR="00DB2094" w:rsidRDefault="00DB2094" w:rsidP="00DB2094">
      <w:pPr>
        <w:rPr>
          <w:rFonts w:ascii="Garamond" w:hAnsi="Garamond"/>
        </w:rPr>
      </w:pPr>
    </w:p>
    <w:p w14:paraId="0F023D27" w14:textId="6210D5C5" w:rsidR="002F5797" w:rsidRDefault="00637EEC" w:rsidP="00DB2094">
      <w:pPr>
        <w:rPr>
          <w:rFonts w:ascii="Garamond" w:hAnsi="Garamond"/>
        </w:rPr>
      </w:pPr>
      <w:r w:rsidRPr="00637EEC">
        <w:rPr>
          <w:noProof/>
        </w:rPr>
        <w:lastRenderedPageBreak/>
        <w:drawing>
          <wp:inline distT="0" distB="0" distL="0" distR="0" wp14:anchorId="49936AFF" wp14:editId="11AAA309">
            <wp:extent cx="6120130" cy="4719955"/>
            <wp:effectExtent l="0" t="0" r="0" b="444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3FBAC7F3" w14:textId="3965C50F" w:rsidR="002F5797" w:rsidRDefault="002F5797" w:rsidP="00DB2094">
      <w:pPr>
        <w:rPr>
          <w:rFonts w:ascii="Garamond" w:hAnsi="Garamond"/>
        </w:rPr>
      </w:pPr>
    </w:p>
    <w:p w14:paraId="17A5A470" w14:textId="392834AA" w:rsidR="00DB2094" w:rsidRDefault="00637EEC" w:rsidP="00DB2094">
      <w:pPr>
        <w:rPr>
          <w:rFonts w:ascii="Garamond" w:hAnsi="Garamond"/>
        </w:rPr>
      </w:pPr>
      <w:r w:rsidRPr="00637EEC">
        <w:rPr>
          <w:noProof/>
        </w:rPr>
        <w:lastRenderedPageBreak/>
        <w:drawing>
          <wp:inline distT="0" distB="0" distL="0" distR="0" wp14:anchorId="18BF8A5A" wp14:editId="37483401">
            <wp:extent cx="6120130" cy="4719955"/>
            <wp:effectExtent l="0" t="0" r="0" b="444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48A213C2" w14:textId="777F84B7" w:rsidR="00DB2094" w:rsidRDefault="00DB2094" w:rsidP="00DB2094">
      <w:pPr>
        <w:rPr>
          <w:rFonts w:ascii="Garamond" w:hAnsi="Garamond"/>
        </w:rPr>
      </w:pPr>
    </w:p>
    <w:p w14:paraId="0CDCE6BA" w14:textId="76023AF5" w:rsidR="00DB2094" w:rsidRDefault="00637EEC" w:rsidP="00DB2094">
      <w:pPr>
        <w:rPr>
          <w:rFonts w:ascii="Garamond" w:hAnsi="Garamond"/>
        </w:rPr>
      </w:pPr>
      <w:r w:rsidRPr="00637EEC">
        <w:rPr>
          <w:noProof/>
        </w:rPr>
        <w:lastRenderedPageBreak/>
        <w:drawing>
          <wp:inline distT="0" distB="0" distL="0" distR="0" wp14:anchorId="5565B5EE" wp14:editId="1856964D">
            <wp:extent cx="6120130" cy="4719955"/>
            <wp:effectExtent l="0" t="0" r="0" b="444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77CCCC1E" w14:textId="77777777" w:rsidR="004A3B60" w:rsidRDefault="004A3B60" w:rsidP="00DB2094">
      <w:pPr>
        <w:rPr>
          <w:rFonts w:ascii="Garamond" w:hAnsi="Garamond"/>
        </w:rPr>
      </w:pPr>
    </w:p>
    <w:p w14:paraId="5BF83E26" w14:textId="72134BDA" w:rsidR="004A3B60" w:rsidRDefault="004A3B60"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Di seguito si riporta il dettaglio della valorizzazione delle componenti RCTOTtv e RCTOTtf per le annualità del Pef:</w:t>
      </w:r>
    </w:p>
    <w:p w14:paraId="798218CC" w14:textId="77777777" w:rsidR="00C37F08" w:rsidRDefault="00C37F08" w:rsidP="00DB2094">
      <w:pPr>
        <w:rPr>
          <w:rFonts w:ascii="Garamond" w:hAnsi="Garamond"/>
        </w:rPr>
      </w:pPr>
    </w:p>
    <w:p w14:paraId="4D3C07CF" w14:textId="63CDAD16" w:rsidR="00C37F08" w:rsidRDefault="00637EEC" w:rsidP="00DB2094">
      <w:pPr>
        <w:rPr>
          <w:rFonts w:ascii="Garamond" w:hAnsi="Garamond"/>
        </w:rPr>
      </w:pPr>
      <w:r w:rsidRPr="00637EEC">
        <w:rPr>
          <w:noProof/>
        </w:rPr>
        <w:lastRenderedPageBreak/>
        <w:drawing>
          <wp:inline distT="0" distB="0" distL="0" distR="0" wp14:anchorId="70026850" wp14:editId="199AFDE1">
            <wp:extent cx="6120130" cy="139827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1398270"/>
                    </a:xfrm>
                    <a:prstGeom prst="rect">
                      <a:avLst/>
                    </a:prstGeom>
                    <a:noFill/>
                    <a:ln>
                      <a:noFill/>
                    </a:ln>
                  </pic:spPr>
                </pic:pic>
              </a:graphicData>
            </a:graphic>
          </wp:inline>
        </w:drawing>
      </w:r>
    </w:p>
    <w:p w14:paraId="2F2CABCF" w14:textId="18866C19" w:rsidR="00CB0719" w:rsidRDefault="00CB0719" w:rsidP="00DB2094">
      <w:pPr>
        <w:rPr>
          <w:rFonts w:ascii="Garamond" w:hAnsi="Garamond"/>
        </w:rPr>
      </w:pPr>
    </w:p>
    <w:p w14:paraId="1A5B563C" w14:textId="57245819" w:rsidR="00DB2094" w:rsidRDefault="00DB2094"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L’Ente territorialmente competente ha verificato che le risultanze finali del Pef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0F572324"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D8493D">
        <w:rPr>
          <w:rFonts w:ascii="Garamond" w:hAnsi="Garamond"/>
          <w:lang w:eastAsia="en-GB"/>
        </w:rPr>
        <w:t>GROTTAZZOLINA</w:t>
      </w:r>
      <w:r w:rsidR="00F83177">
        <w:rPr>
          <w:rFonts w:ascii="Garamond" w:hAnsi="Garamond"/>
          <w:lang w:eastAsia="en-GB"/>
        </w:rPr>
        <w:t xml:space="preserve"> non</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w:t>
      </w:r>
      <w:r w:rsidR="00F83177">
        <w:rPr>
          <w:rFonts w:ascii="Garamond" w:hAnsi="Garamond"/>
          <w:lang w:eastAsia="en-GB"/>
        </w:rPr>
        <w:t>i.</w:t>
      </w:r>
    </w:p>
    <w:p w14:paraId="35B486CB" w14:textId="77777777" w:rsidR="00C67462" w:rsidRPr="00CB61A9" w:rsidRDefault="00C67462"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1FD9517D" w:rsidR="00E4280E" w:rsidRDefault="00FD52DE" w:rsidP="00DB2094">
      <w:pPr>
        <w:rPr>
          <w:rFonts w:ascii="Garamond" w:hAnsi="Garamond"/>
          <w:lang w:eastAsia="en-GB"/>
        </w:rPr>
      </w:pPr>
      <w:r>
        <w:rPr>
          <w:rFonts w:ascii="Garamond" w:hAnsi="Garamond"/>
          <w:lang w:eastAsia="en-GB"/>
        </w:rPr>
        <w:t xml:space="preserve">Il Comune di </w:t>
      </w:r>
      <w:r w:rsidR="00D8493D">
        <w:rPr>
          <w:rFonts w:ascii="Garamond" w:hAnsi="Garamond"/>
          <w:lang w:eastAsia="en-GB"/>
        </w:rPr>
        <w:t>GROTTAZZOLINA</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52F69A26" w:rsidR="00DB2094" w:rsidRDefault="00AC4221" w:rsidP="00DB2094">
      <w:pPr>
        <w:rPr>
          <w:rFonts w:ascii="Garamond" w:hAnsi="Garamond"/>
          <w:lang w:eastAsia="en-GB"/>
        </w:rPr>
      </w:pPr>
      <w:r w:rsidRPr="00AC4221">
        <w:rPr>
          <w:noProof/>
        </w:rPr>
        <w:drawing>
          <wp:inline distT="0" distB="0" distL="0" distR="0" wp14:anchorId="01DE0099" wp14:editId="2B3C045F">
            <wp:extent cx="6120130" cy="1793240"/>
            <wp:effectExtent l="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1793240"/>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Di seguito si riportano le risultanze finali del Pef 2022-2025</w:t>
      </w:r>
    </w:p>
    <w:p w14:paraId="4FE20D88" w14:textId="3880846F" w:rsidR="00D241D5" w:rsidRDefault="00D241D5" w:rsidP="00594F74">
      <w:pPr>
        <w:rPr>
          <w:noProof/>
        </w:rPr>
      </w:pPr>
    </w:p>
    <w:p w14:paraId="0C50F22E" w14:textId="503672FE" w:rsidR="00AC4221" w:rsidRPr="00A94980" w:rsidRDefault="00AD60A4" w:rsidP="00594F74">
      <w:pPr>
        <w:rPr>
          <w:rFonts w:ascii="Garamond" w:hAnsi="Garamond"/>
        </w:rPr>
      </w:pPr>
      <w:r w:rsidRPr="00AD60A4">
        <w:lastRenderedPageBreak/>
        <w:drawing>
          <wp:inline distT="0" distB="0" distL="0" distR="0" wp14:anchorId="51525B52" wp14:editId="618079B3">
            <wp:extent cx="6120130" cy="497840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4978400"/>
                    </a:xfrm>
                    <a:prstGeom prst="rect">
                      <a:avLst/>
                    </a:prstGeom>
                    <a:noFill/>
                    <a:ln>
                      <a:noFill/>
                    </a:ln>
                  </pic:spPr>
                </pic:pic>
              </a:graphicData>
            </a:graphic>
          </wp:inline>
        </w:drawing>
      </w:r>
    </w:p>
    <w:sectPr w:rsidR="00AC4221" w:rsidRPr="00A94980" w:rsidSect="006A17F7">
      <w:headerReference w:type="default" r:id="rId24"/>
      <w:footerReference w:type="even" r:id="rId25"/>
      <w:footerReference w:type="default" r:id="rId26"/>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E7038" w14:textId="77777777" w:rsidR="006C3C62" w:rsidRDefault="006C3C62" w:rsidP="00393406">
      <w:r>
        <w:separator/>
      </w:r>
    </w:p>
  </w:endnote>
  <w:endnote w:type="continuationSeparator" w:id="0">
    <w:p w14:paraId="65DAED20" w14:textId="77777777" w:rsidR="006C3C62" w:rsidRDefault="006C3C62" w:rsidP="00393406">
      <w:r>
        <w:continuationSeparator/>
      </w:r>
    </w:p>
  </w:endnote>
  <w:endnote w:type="continuationNotice" w:id="1">
    <w:p w14:paraId="0112B128" w14:textId="77777777" w:rsidR="006C3C62" w:rsidRDefault="006C3C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C3478" w14:textId="77777777" w:rsidR="006C3C62" w:rsidRDefault="006C3C62" w:rsidP="00393406">
      <w:r>
        <w:separator/>
      </w:r>
    </w:p>
  </w:footnote>
  <w:footnote w:type="continuationSeparator" w:id="0">
    <w:p w14:paraId="5B60DFF1" w14:textId="77777777" w:rsidR="006C3C62" w:rsidRDefault="006C3C62" w:rsidP="00393406">
      <w:r>
        <w:continuationSeparator/>
      </w:r>
    </w:p>
  </w:footnote>
  <w:footnote w:type="continuationNotice" w:id="1">
    <w:p w14:paraId="67F380F6" w14:textId="77777777" w:rsidR="006C3C62" w:rsidRDefault="006C3C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0263"/>
    <w:rsid w:val="00001870"/>
    <w:rsid w:val="00001BB6"/>
    <w:rsid w:val="00004E81"/>
    <w:rsid w:val="000061DE"/>
    <w:rsid w:val="00006B04"/>
    <w:rsid w:val="00010D46"/>
    <w:rsid w:val="000156BF"/>
    <w:rsid w:val="000200D8"/>
    <w:rsid w:val="0002015F"/>
    <w:rsid w:val="00021512"/>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57F6B"/>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D5E4F"/>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E636F"/>
    <w:rsid w:val="002F063E"/>
    <w:rsid w:val="002F13A6"/>
    <w:rsid w:val="002F435B"/>
    <w:rsid w:val="002F5797"/>
    <w:rsid w:val="002F5AA0"/>
    <w:rsid w:val="00301378"/>
    <w:rsid w:val="00305479"/>
    <w:rsid w:val="00306025"/>
    <w:rsid w:val="003108C3"/>
    <w:rsid w:val="00310EB4"/>
    <w:rsid w:val="0031196B"/>
    <w:rsid w:val="00313A12"/>
    <w:rsid w:val="0031673A"/>
    <w:rsid w:val="00320ED9"/>
    <w:rsid w:val="00322EBB"/>
    <w:rsid w:val="003248CC"/>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77A2A"/>
    <w:rsid w:val="0048384D"/>
    <w:rsid w:val="00487ECF"/>
    <w:rsid w:val="0049115E"/>
    <w:rsid w:val="00491E2C"/>
    <w:rsid w:val="004921EF"/>
    <w:rsid w:val="004A3B60"/>
    <w:rsid w:val="004A59A1"/>
    <w:rsid w:val="004A6484"/>
    <w:rsid w:val="004A6CB4"/>
    <w:rsid w:val="004B10EA"/>
    <w:rsid w:val="004B187B"/>
    <w:rsid w:val="004B2D5E"/>
    <w:rsid w:val="004B2D7D"/>
    <w:rsid w:val="004B3104"/>
    <w:rsid w:val="004B3885"/>
    <w:rsid w:val="004B6BC2"/>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57CC4"/>
    <w:rsid w:val="005617CD"/>
    <w:rsid w:val="005627FA"/>
    <w:rsid w:val="00564F24"/>
    <w:rsid w:val="00571257"/>
    <w:rsid w:val="005732FB"/>
    <w:rsid w:val="00577D77"/>
    <w:rsid w:val="00580487"/>
    <w:rsid w:val="0058246F"/>
    <w:rsid w:val="00582941"/>
    <w:rsid w:val="0058498D"/>
    <w:rsid w:val="0059286F"/>
    <w:rsid w:val="005934B4"/>
    <w:rsid w:val="00593A8B"/>
    <w:rsid w:val="00594C60"/>
    <w:rsid w:val="00594D9A"/>
    <w:rsid w:val="00594F74"/>
    <w:rsid w:val="005A0221"/>
    <w:rsid w:val="005A1E34"/>
    <w:rsid w:val="005A34D6"/>
    <w:rsid w:val="005A5523"/>
    <w:rsid w:val="005B0118"/>
    <w:rsid w:val="005B0E7C"/>
    <w:rsid w:val="005B3435"/>
    <w:rsid w:val="005D2ECA"/>
    <w:rsid w:val="005D3082"/>
    <w:rsid w:val="005D3A39"/>
    <w:rsid w:val="005D58A8"/>
    <w:rsid w:val="005D58B5"/>
    <w:rsid w:val="005D6F6A"/>
    <w:rsid w:val="005E340F"/>
    <w:rsid w:val="005E506A"/>
    <w:rsid w:val="005F11BE"/>
    <w:rsid w:val="005F4160"/>
    <w:rsid w:val="005F5FA5"/>
    <w:rsid w:val="00600479"/>
    <w:rsid w:val="00604A93"/>
    <w:rsid w:val="00607316"/>
    <w:rsid w:val="00610637"/>
    <w:rsid w:val="006145D5"/>
    <w:rsid w:val="006219B6"/>
    <w:rsid w:val="00622307"/>
    <w:rsid w:val="00624383"/>
    <w:rsid w:val="00625C96"/>
    <w:rsid w:val="00630BCD"/>
    <w:rsid w:val="0063690C"/>
    <w:rsid w:val="00637EEC"/>
    <w:rsid w:val="00646FC1"/>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C3C62"/>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421C"/>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260C"/>
    <w:rsid w:val="008C6AF0"/>
    <w:rsid w:val="008D2813"/>
    <w:rsid w:val="008D30EB"/>
    <w:rsid w:val="008E17EC"/>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2E3A"/>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7AC8"/>
    <w:rsid w:val="00A90C24"/>
    <w:rsid w:val="00A94169"/>
    <w:rsid w:val="00A948A6"/>
    <w:rsid w:val="00A94980"/>
    <w:rsid w:val="00A94BD8"/>
    <w:rsid w:val="00AA19DB"/>
    <w:rsid w:val="00AA1BDF"/>
    <w:rsid w:val="00AB0B2C"/>
    <w:rsid w:val="00AB15F1"/>
    <w:rsid w:val="00AB230B"/>
    <w:rsid w:val="00AC4221"/>
    <w:rsid w:val="00AC5E10"/>
    <w:rsid w:val="00AD060C"/>
    <w:rsid w:val="00AD60A4"/>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4730"/>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2BA2"/>
    <w:rsid w:val="00C15D8F"/>
    <w:rsid w:val="00C176CF"/>
    <w:rsid w:val="00C278F4"/>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3D"/>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063D"/>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B58"/>
    <w:rsid w:val="00E03F02"/>
    <w:rsid w:val="00E073A0"/>
    <w:rsid w:val="00E13C77"/>
    <w:rsid w:val="00E2059B"/>
    <w:rsid w:val="00E20AEF"/>
    <w:rsid w:val="00E22E20"/>
    <w:rsid w:val="00E24AF6"/>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75E74"/>
    <w:rsid w:val="00E837DB"/>
    <w:rsid w:val="00E862C3"/>
    <w:rsid w:val="00E87D1F"/>
    <w:rsid w:val="00E91265"/>
    <w:rsid w:val="00E913DD"/>
    <w:rsid w:val="00E91B88"/>
    <w:rsid w:val="00E933D1"/>
    <w:rsid w:val="00EA1E66"/>
    <w:rsid w:val="00EA60B1"/>
    <w:rsid w:val="00EA625A"/>
    <w:rsid w:val="00EB3382"/>
    <w:rsid w:val="00EB6497"/>
    <w:rsid w:val="00EC267A"/>
    <w:rsid w:val="00EC2F47"/>
    <w:rsid w:val="00EC7729"/>
    <w:rsid w:val="00ED04B2"/>
    <w:rsid w:val="00ED3910"/>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3177"/>
    <w:rsid w:val="00F84099"/>
    <w:rsid w:val="00F86153"/>
    <w:rsid w:val="00FA3649"/>
    <w:rsid w:val="00FB0F8F"/>
    <w:rsid w:val="00FC3013"/>
    <w:rsid w:val="00FC58A4"/>
    <w:rsid w:val="00FC7E78"/>
    <w:rsid w:val="00FD18FE"/>
    <w:rsid w:val="00FD4BEA"/>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0084401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17</Pages>
  <Words>1875</Words>
  <Characters>13513</Characters>
  <Application>Microsoft Office Word</Application>
  <DocSecurity>0</DocSecurity>
  <Lines>112</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15358</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99</cp:revision>
  <cp:lastPrinted>2020-12-29T17:36:00Z</cp:lastPrinted>
  <dcterms:created xsi:type="dcterms:W3CDTF">2022-04-21T08:20:00Z</dcterms:created>
  <dcterms:modified xsi:type="dcterms:W3CDTF">2022-05-20T11:23:00Z</dcterms:modified>
</cp:coreProperties>
</file>